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C59E8" w14:textId="77777777" w:rsidR="00F566D9" w:rsidRPr="002160E3" w:rsidRDefault="00F566D9" w:rsidP="002160E3">
      <w:pPr>
        <w:pStyle w:val="Title"/>
        <w:rPr>
          <w:rFonts w:asciiTheme="minorHAnsi" w:hAnsiTheme="minorHAnsi"/>
          <w:b/>
          <w:sz w:val="36"/>
          <w:szCs w:val="36"/>
          <w:lang w:val="en-GB"/>
        </w:rPr>
      </w:pPr>
      <w:r w:rsidRPr="002160E3">
        <w:rPr>
          <w:rFonts w:asciiTheme="minorHAnsi" w:hAnsiTheme="minorHAnsi"/>
          <w:b/>
          <w:sz w:val="36"/>
          <w:szCs w:val="36"/>
          <w:lang w:val="en-GB"/>
        </w:rPr>
        <w:t>MANAGEMENT DISCUSSION AND ANALYSIS REPORT</w:t>
      </w:r>
    </w:p>
    <w:p w14:paraId="2C51FB97" w14:textId="77777777" w:rsidR="00F807EF" w:rsidRPr="002160E3" w:rsidRDefault="003A75CB" w:rsidP="00C96676">
      <w:pPr>
        <w:pStyle w:val="NoSpacing"/>
        <w:jc w:val="both"/>
        <w:rPr>
          <w:rFonts w:asciiTheme="minorHAnsi" w:hAnsiTheme="minorHAnsi"/>
          <w:sz w:val="22"/>
          <w:szCs w:val="22"/>
        </w:rPr>
      </w:pPr>
      <w:r w:rsidRPr="002160E3">
        <w:rPr>
          <w:rFonts w:asciiTheme="minorHAnsi" w:hAnsiTheme="minorHAnsi"/>
          <w:sz w:val="22"/>
          <w:szCs w:val="22"/>
        </w:rPr>
        <w:t xml:space="preserve">Al Anwar Holdings SAOG </w:t>
      </w:r>
      <w:r w:rsidR="00EE389C" w:rsidRPr="002160E3">
        <w:rPr>
          <w:rFonts w:asciiTheme="minorHAnsi" w:hAnsiTheme="minorHAnsi"/>
          <w:sz w:val="22"/>
          <w:szCs w:val="22"/>
        </w:rPr>
        <w:t xml:space="preserve">was </w:t>
      </w:r>
      <w:r w:rsidR="00F206FD" w:rsidRPr="002160E3">
        <w:rPr>
          <w:rFonts w:asciiTheme="minorHAnsi" w:hAnsiTheme="minorHAnsi"/>
          <w:sz w:val="22"/>
          <w:szCs w:val="22"/>
        </w:rPr>
        <w:t xml:space="preserve">incorporated on 20th December, 1994 </w:t>
      </w:r>
      <w:r w:rsidR="00EE389C" w:rsidRPr="002160E3">
        <w:rPr>
          <w:rFonts w:asciiTheme="minorHAnsi" w:hAnsiTheme="minorHAnsi"/>
          <w:sz w:val="22"/>
          <w:szCs w:val="22"/>
        </w:rPr>
        <w:t>a</w:t>
      </w:r>
      <w:r w:rsidRPr="002160E3">
        <w:rPr>
          <w:rFonts w:asciiTheme="minorHAnsi" w:hAnsiTheme="minorHAnsi"/>
          <w:sz w:val="22"/>
          <w:szCs w:val="22"/>
        </w:rPr>
        <w:t>s a publically traded company on</w:t>
      </w:r>
      <w:r w:rsidR="00CA3A17" w:rsidRPr="002160E3">
        <w:rPr>
          <w:rFonts w:asciiTheme="minorHAnsi" w:hAnsiTheme="minorHAnsi"/>
          <w:sz w:val="22"/>
          <w:szCs w:val="22"/>
        </w:rPr>
        <w:t xml:space="preserve"> </w:t>
      </w:r>
      <w:r w:rsidRPr="002160E3">
        <w:rPr>
          <w:rFonts w:asciiTheme="minorHAnsi" w:hAnsiTheme="minorHAnsi"/>
          <w:sz w:val="22"/>
          <w:szCs w:val="22"/>
        </w:rPr>
        <w:t>Muscat Securities Market</w:t>
      </w:r>
      <w:r w:rsidR="00CA3A17" w:rsidRPr="002160E3">
        <w:rPr>
          <w:rFonts w:asciiTheme="minorHAnsi" w:hAnsiTheme="minorHAnsi"/>
          <w:sz w:val="22"/>
          <w:szCs w:val="22"/>
        </w:rPr>
        <w:t xml:space="preserve"> (MSM). </w:t>
      </w:r>
      <w:r w:rsidR="00907466" w:rsidRPr="002160E3">
        <w:rPr>
          <w:rFonts w:asciiTheme="minorHAnsi" w:hAnsiTheme="minorHAnsi"/>
          <w:sz w:val="22"/>
          <w:szCs w:val="22"/>
        </w:rPr>
        <w:t>Over the last twenty</w:t>
      </w:r>
      <w:r w:rsidR="0002117D" w:rsidRPr="002160E3">
        <w:rPr>
          <w:rFonts w:asciiTheme="minorHAnsi" w:hAnsiTheme="minorHAnsi"/>
          <w:sz w:val="22"/>
          <w:szCs w:val="22"/>
        </w:rPr>
        <w:t xml:space="preserve"> one</w:t>
      </w:r>
      <w:r w:rsidR="00907466" w:rsidRPr="002160E3">
        <w:rPr>
          <w:rFonts w:asciiTheme="minorHAnsi" w:hAnsiTheme="minorHAnsi"/>
          <w:sz w:val="22"/>
          <w:szCs w:val="22"/>
        </w:rPr>
        <w:t xml:space="preserve"> years, we have built successful companies and exited some of them through stake sales or flotation. </w:t>
      </w:r>
    </w:p>
    <w:p w14:paraId="602D8F51" w14:textId="77777777" w:rsidR="00F807EF" w:rsidRPr="002160E3" w:rsidRDefault="00F807EF" w:rsidP="00C96676">
      <w:pPr>
        <w:pStyle w:val="NoSpacing"/>
        <w:jc w:val="both"/>
        <w:rPr>
          <w:rFonts w:asciiTheme="minorHAnsi" w:hAnsiTheme="minorHAnsi"/>
          <w:sz w:val="22"/>
          <w:szCs w:val="22"/>
        </w:rPr>
      </w:pPr>
    </w:p>
    <w:p w14:paraId="4EE010DC" w14:textId="77777777" w:rsidR="00FB4EE2" w:rsidRPr="002160E3" w:rsidRDefault="0007467D" w:rsidP="006B2806">
      <w:pPr>
        <w:pStyle w:val="Title"/>
        <w:rPr>
          <w:rFonts w:asciiTheme="minorHAnsi" w:hAnsiTheme="minorHAnsi"/>
          <w:sz w:val="28"/>
          <w:szCs w:val="28"/>
          <w:lang w:val="en-GB"/>
        </w:rPr>
      </w:pPr>
      <w:r w:rsidRPr="002160E3">
        <w:rPr>
          <w:rFonts w:asciiTheme="minorHAnsi" w:hAnsiTheme="minorHAnsi"/>
          <w:sz w:val="28"/>
          <w:szCs w:val="28"/>
          <w:lang w:val="en-GB"/>
        </w:rPr>
        <w:t>Investment Strategy:</w:t>
      </w:r>
      <w:r w:rsidR="00B40628" w:rsidRPr="002160E3">
        <w:rPr>
          <w:rFonts w:asciiTheme="minorHAnsi" w:hAnsiTheme="minorHAnsi"/>
          <w:sz w:val="28"/>
          <w:szCs w:val="28"/>
          <w:lang w:val="en-GB"/>
        </w:rPr>
        <w:t xml:space="preserve"> Clear</w:t>
      </w:r>
      <w:r w:rsidR="00C713DB">
        <w:rPr>
          <w:rFonts w:asciiTheme="minorHAnsi" w:hAnsiTheme="minorHAnsi"/>
          <w:sz w:val="28"/>
          <w:szCs w:val="28"/>
          <w:lang w:val="en-GB"/>
        </w:rPr>
        <w:t>,</w:t>
      </w:r>
      <w:r w:rsidR="00B40628" w:rsidRPr="002160E3">
        <w:rPr>
          <w:rFonts w:asciiTheme="minorHAnsi" w:hAnsiTheme="minorHAnsi"/>
          <w:sz w:val="28"/>
          <w:szCs w:val="28"/>
          <w:lang w:val="en-GB"/>
        </w:rPr>
        <w:t xml:space="preserve"> Differentiated </w:t>
      </w:r>
      <w:r w:rsidR="006E7337" w:rsidRPr="002160E3">
        <w:rPr>
          <w:rFonts w:asciiTheme="minorHAnsi" w:hAnsiTheme="minorHAnsi"/>
          <w:sz w:val="28"/>
          <w:szCs w:val="28"/>
          <w:lang w:val="en-GB"/>
        </w:rPr>
        <w:t>and</w:t>
      </w:r>
      <w:r w:rsidR="00B40628" w:rsidRPr="002160E3">
        <w:rPr>
          <w:rFonts w:asciiTheme="minorHAnsi" w:hAnsiTheme="minorHAnsi"/>
          <w:sz w:val="28"/>
          <w:szCs w:val="28"/>
          <w:lang w:val="en-GB"/>
        </w:rPr>
        <w:t xml:space="preserve"> Proven</w:t>
      </w:r>
    </w:p>
    <w:p w14:paraId="04F39A1F" w14:textId="77777777" w:rsidR="00CE28BD" w:rsidRPr="002160E3" w:rsidRDefault="00CE28BD" w:rsidP="00CE28BD">
      <w:pPr>
        <w:pStyle w:val="NoSpacing"/>
        <w:jc w:val="both"/>
        <w:rPr>
          <w:rFonts w:asciiTheme="minorHAnsi" w:hAnsiTheme="minorHAnsi" w:cs="Arial"/>
          <w:sz w:val="22"/>
          <w:szCs w:val="22"/>
        </w:rPr>
      </w:pPr>
      <w:r w:rsidRPr="002160E3">
        <w:rPr>
          <w:rFonts w:asciiTheme="minorHAnsi" w:hAnsiTheme="minorHAnsi" w:cs="Arial"/>
          <w:sz w:val="22"/>
          <w:szCs w:val="22"/>
        </w:rPr>
        <w:t>Private-Equity model of owning and investing in private companies with the intention of growing them and improving their business performance forms the core of Al Anwar’s investing framework.</w:t>
      </w:r>
    </w:p>
    <w:p w14:paraId="106C54B5" w14:textId="77777777" w:rsidR="00CE28BD" w:rsidRDefault="00CE28BD" w:rsidP="006005D5">
      <w:pPr>
        <w:pStyle w:val="NoSpacing"/>
        <w:jc w:val="both"/>
        <w:rPr>
          <w:rFonts w:asciiTheme="minorHAnsi" w:hAnsiTheme="minorHAnsi"/>
          <w:sz w:val="22"/>
          <w:szCs w:val="22"/>
        </w:rPr>
      </w:pPr>
    </w:p>
    <w:p w14:paraId="26FA5522" w14:textId="77777777" w:rsidR="00CE28BD" w:rsidRDefault="00DE5F32" w:rsidP="006005D5">
      <w:pPr>
        <w:pStyle w:val="NoSpacing"/>
        <w:jc w:val="both"/>
        <w:rPr>
          <w:rFonts w:asciiTheme="minorHAnsi" w:hAnsiTheme="minorHAnsi"/>
          <w:sz w:val="22"/>
          <w:szCs w:val="22"/>
        </w:rPr>
      </w:pPr>
      <w:r w:rsidRPr="002160E3">
        <w:rPr>
          <w:rFonts w:asciiTheme="minorHAnsi" w:hAnsiTheme="minorHAnsi"/>
          <w:noProof/>
          <w:sz w:val="22"/>
          <w:szCs w:val="22"/>
          <w:lang w:val="en-US" w:eastAsia="en-US"/>
        </w:rPr>
        <w:drawing>
          <wp:anchor distT="0" distB="0" distL="114300" distR="114300" simplePos="0" relativeHeight="251658240" behindDoc="0" locked="0" layoutInCell="1" allowOverlap="1" wp14:anchorId="01EE3E8F" wp14:editId="2BE29B4A">
            <wp:simplePos x="0" y="0"/>
            <wp:positionH relativeFrom="column">
              <wp:posOffset>2590800</wp:posOffset>
            </wp:positionH>
            <wp:positionV relativeFrom="paragraph">
              <wp:posOffset>102870</wp:posOffset>
            </wp:positionV>
            <wp:extent cx="3235325" cy="19907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8493" r="10256"/>
                    <a:stretch/>
                  </pic:blipFill>
                  <pic:spPr bwMode="auto">
                    <a:xfrm>
                      <a:off x="0" y="0"/>
                      <a:ext cx="3235325"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5D5" w:rsidRPr="002160E3">
        <w:rPr>
          <w:rFonts w:asciiTheme="minorHAnsi" w:hAnsiTheme="minorHAnsi"/>
          <w:sz w:val="22"/>
          <w:szCs w:val="22"/>
        </w:rPr>
        <w:t>At Al Anwar, we, crave efficiency and detest bureaucracy. To achieve our goals, however, we follow an approach e</w:t>
      </w:r>
      <w:r w:rsidR="00832954" w:rsidRPr="002160E3">
        <w:rPr>
          <w:rFonts w:asciiTheme="minorHAnsi" w:hAnsiTheme="minorHAnsi"/>
          <w:sz w:val="22"/>
          <w:szCs w:val="22"/>
        </w:rPr>
        <w:t>mphasizing investing in</w:t>
      </w:r>
      <w:r w:rsidR="006005D5" w:rsidRPr="002160E3">
        <w:rPr>
          <w:rFonts w:asciiTheme="minorHAnsi" w:hAnsiTheme="minorHAnsi"/>
          <w:sz w:val="22"/>
          <w:szCs w:val="22"/>
        </w:rPr>
        <w:t xml:space="preserve"> businesses run by cost-conscious and efficient managers. </w:t>
      </w:r>
    </w:p>
    <w:p w14:paraId="6CA0C7B9" w14:textId="77777777" w:rsidR="00CE28BD" w:rsidRDefault="00CE28BD" w:rsidP="006005D5">
      <w:pPr>
        <w:pStyle w:val="NoSpacing"/>
        <w:jc w:val="both"/>
        <w:rPr>
          <w:rFonts w:asciiTheme="minorHAnsi" w:hAnsiTheme="minorHAnsi"/>
          <w:sz w:val="22"/>
          <w:szCs w:val="22"/>
        </w:rPr>
      </w:pPr>
    </w:p>
    <w:p w14:paraId="6F1B0442" w14:textId="67AEC300" w:rsidR="00E742D5" w:rsidRPr="002160E3" w:rsidRDefault="006005D5" w:rsidP="006005D5">
      <w:pPr>
        <w:pStyle w:val="NoSpacing"/>
        <w:jc w:val="both"/>
        <w:rPr>
          <w:rFonts w:asciiTheme="minorHAnsi" w:hAnsiTheme="minorHAnsi"/>
          <w:sz w:val="22"/>
          <w:szCs w:val="22"/>
        </w:rPr>
      </w:pPr>
      <w:r w:rsidRPr="002160E3">
        <w:rPr>
          <w:rFonts w:asciiTheme="minorHAnsi" w:hAnsiTheme="minorHAnsi"/>
          <w:sz w:val="22"/>
          <w:szCs w:val="22"/>
        </w:rPr>
        <w:t xml:space="preserve">After the investment, our role is to create an environment in which </w:t>
      </w:r>
      <w:r w:rsidR="0088268A">
        <w:rPr>
          <w:rFonts w:asciiTheme="minorHAnsi" w:hAnsiTheme="minorHAnsi"/>
          <w:sz w:val="22"/>
          <w:szCs w:val="22"/>
        </w:rPr>
        <w:t>our entrusted</w:t>
      </w:r>
      <w:r w:rsidRPr="002160E3">
        <w:rPr>
          <w:rFonts w:asciiTheme="minorHAnsi" w:hAnsiTheme="minorHAnsi"/>
          <w:sz w:val="22"/>
          <w:szCs w:val="22"/>
        </w:rPr>
        <w:t xml:space="preserve"> CEOs can maximize both their managerial effectiveness and generate value for shareholders.</w:t>
      </w:r>
      <w:r w:rsidR="00E742D5" w:rsidRPr="002160E3">
        <w:rPr>
          <w:rFonts w:asciiTheme="minorHAnsi" w:hAnsiTheme="minorHAnsi"/>
          <w:sz w:val="22"/>
          <w:szCs w:val="22"/>
        </w:rPr>
        <w:t xml:space="preserve"> </w:t>
      </w:r>
    </w:p>
    <w:p w14:paraId="7A7F4226" w14:textId="77777777" w:rsidR="00F807EF" w:rsidRPr="002160E3" w:rsidRDefault="00F807EF" w:rsidP="00E742D5">
      <w:pPr>
        <w:pStyle w:val="NoSpacing"/>
        <w:jc w:val="both"/>
        <w:rPr>
          <w:rFonts w:asciiTheme="minorHAnsi" w:hAnsiTheme="minorHAnsi" w:cs="Arial"/>
          <w:sz w:val="22"/>
          <w:szCs w:val="22"/>
        </w:rPr>
      </w:pPr>
    </w:p>
    <w:p w14:paraId="7F19947A" w14:textId="77777777" w:rsidR="00F807EF" w:rsidRPr="002160E3" w:rsidRDefault="00832954" w:rsidP="006005D5">
      <w:pPr>
        <w:pStyle w:val="NoSpacing"/>
        <w:jc w:val="both"/>
        <w:rPr>
          <w:rFonts w:asciiTheme="minorHAnsi" w:hAnsiTheme="minorHAnsi" w:cs="Arial"/>
          <w:sz w:val="22"/>
          <w:szCs w:val="22"/>
        </w:rPr>
      </w:pPr>
      <w:r w:rsidRPr="002160E3">
        <w:rPr>
          <w:rFonts w:asciiTheme="minorHAnsi" w:hAnsiTheme="minorHAnsi" w:cs="Arial"/>
          <w:sz w:val="22"/>
          <w:szCs w:val="22"/>
        </w:rPr>
        <w:t>Our flexibility in capital allocation and willingness to carry out bolt on acquisitions, g</w:t>
      </w:r>
      <w:r w:rsidR="00D0270B">
        <w:rPr>
          <w:rFonts w:asciiTheme="minorHAnsi" w:hAnsiTheme="minorHAnsi" w:cs="Arial"/>
          <w:sz w:val="22"/>
          <w:szCs w:val="22"/>
        </w:rPr>
        <w:t>ives us a significant edge o in the market</w:t>
      </w:r>
      <w:r w:rsidRPr="002160E3">
        <w:rPr>
          <w:rFonts w:asciiTheme="minorHAnsi" w:hAnsiTheme="minorHAnsi" w:cs="Arial"/>
          <w:sz w:val="22"/>
          <w:szCs w:val="22"/>
        </w:rPr>
        <w:t>.</w:t>
      </w:r>
      <w:r w:rsidR="000A3E5C" w:rsidRPr="002160E3">
        <w:rPr>
          <w:rFonts w:asciiTheme="minorHAnsi" w:hAnsiTheme="minorHAnsi" w:cs="Arial"/>
          <w:sz w:val="22"/>
          <w:szCs w:val="22"/>
        </w:rPr>
        <w:t xml:space="preserve"> </w:t>
      </w:r>
      <w:r w:rsidR="006005D5" w:rsidRPr="002160E3">
        <w:rPr>
          <w:rFonts w:asciiTheme="minorHAnsi" w:hAnsiTheme="minorHAnsi" w:cs="Arial"/>
          <w:sz w:val="22"/>
          <w:szCs w:val="22"/>
        </w:rPr>
        <w:t xml:space="preserve">We </w:t>
      </w:r>
      <w:r w:rsidR="00CE28BD">
        <w:rPr>
          <w:rFonts w:asciiTheme="minorHAnsi" w:hAnsiTheme="minorHAnsi" w:cs="Arial"/>
          <w:sz w:val="22"/>
          <w:szCs w:val="22"/>
        </w:rPr>
        <w:t>are judicious in having ownership stakes with respect to getting a controlling/</w:t>
      </w:r>
      <w:r w:rsidR="006005D5" w:rsidRPr="002160E3">
        <w:rPr>
          <w:rFonts w:asciiTheme="minorHAnsi" w:hAnsiTheme="minorHAnsi" w:cs="Arial"/>
          <w:sz w:val="22"/>
          <w:szCs w:val="22"/>
        </w:rPr>
        <w:t>non-controlling</w:t>
      </w:r>
      <w:r w:rsidR="00CE28BD">
        <w:rPr>
          <w:rFonts w:asciiTheme="minorHAnsi" w:hAnsiTheme="minorHAnsi" w:cs="Arial"/>
          <w:sz w:val="22"/>
          <w:szCs w:val="22"/>
        </w:rPr>
        <w:t>/significant minority</w:t>
      </w:r>
      <w:r w:rsidR="006005D5" w:rsidRPr="002160E3">
        <w:rPr>
          <w:rFonts w:asciiTheme="minorHAnsi" w:hAnsiTheme="minorHAnsi" w:cs="Arial"/>
          <w:sz w:val="22"/>
          <w:szCs w:val="22"/>
        </w:rPr>
        <w:t xml:space="preserve"> </w:t>
      </w:r>
      <w:r w:rsidR="00CE28BD">
        <w:rPr>
          <w:rFonts w:asciiTheme="minorHAnsi" w:hAnsiTheme="minorHAnsi" w:cs="Arial"/>
          <w:sz w:val="22"/>
          <w:szCs w:val="22"/>
        </w:rPr>
        <w:t>stake</w:t>
      </w:r>
      <w:r w:rsidR="00D0270B">
        <w:rPr>
          <w:rFonts w:asciiTheme="minorHAnsi" w:hAnsiTheme="minorHAnsi" w:cs="Arial"/>
          <w:sz w:val="22"/>
          <w:szCs w:val="22"/>
        </w:rPr>
        <w:t>s</w:t>
      </w:r>
      <w:r w:rsidR="00CE28BD">
        <w:rPr>
          <w:rFonts w:asciiTheme="minorHAnsi" w:hAnsiTheme="minorHAnsi" w:cs="Arial"/>
          <w:sz w:val="22"/>
          <w:szCs w:val="22"/>
        </w:rPr>
        <w:t xml:space="preserve"> in businesses, depending on the nature of opportunity at hand.</w:t>
      </w:r>
      <w:r w:rsidR="006005D5" w:rsidRPr="002160E3">
        <w:rPr>
          <w:rFonts w:asciiTheme="minorHAnsi" w:hAnsiTheme="minorHAnsi" w:cs="Arial"/>
          <w:sz w:val="22"/>
          <w:szCs w:val="22"/>
        </w:rPr>
        <w:t xml:space="preserve"> </w:t>
      </w:r>
    </w:p>
    <w:p w14:paraId="13620316" w14:textId="77777777" w:rsidR="000A3E5C" w:rsidRPr="002160E3" w:rsidRDefault="000A3E5C" w:rsidP="006005D5">
      <w:pPr>
        <w:pStyle w:val="NoSpacing"/>
        <w:jc w:val="both"/>
        <w:rPr>
          <w:rFonts w:asciiTheme="minorHAnsi" w:hAnsiTheme="minorHAnsi" w:cs="Arial"/>
          <w:sz w:val="22"/>
          <w:szCs w:val="22"/>
        </w:rPr>
      </w:pPr>
    </w:p>
    <w:p w14:paraId="321D12B9" w14:textId="77777777" w:rsidR="00AF7E5A" w:rsidRPr="002160E3" w:rsidRDefault="00A67D18" w:rsidP="006B2806">
      <w:pPr>
        <w:pStyle w:val="Title"/>
        <w:rPr>
          <w:rFonts w:asciiTheme="minorHAnsi" w:hAnsiTheme="minorHAnsi"/>
          <w:sz w:val="28"/>
          <w:szCs w:val="28"/>
          <w:lang w:val="en-GB"/>
        </w:rPr>
      </w:pPr>
      <w:r w:rsidRPr="002160E3">
        <w:rPr>
          <w:rFonts w:asciiTheme="minorHAnsi" w:hAnsiTheme="minorHAnsi"/>
          <w:sz w:val="28"/>
          <w:szCs w:val="28"/>
          <w:lang w:val="en-GB"/>
        </w:rPr>
        <w:t>Globa</w:t>
      </w:r>
      <w:r w:rsidR="005617AC" w:rsidRPr="002160E3">
        <w:rPr>
          <w:rFonts w:asciiTheme="minorHAnsi" w:hAnsiTheme="minorHAnsi"/>
          <w:sz w:val="28"/>
          <w:szCs w:val="28"/>
          <w:lang w:val="en-GB"/>
        </w:rPr>
        <w:t>l Economic Landscape</w:t>
      </w:r>
      <w:r w:rsidR="00BE42F5" w:rsidRPr="002160E3">
        <w:rPr>
          <w:rFonts w:asciiTheme="minorHAnsi" w:hAnsiTheme="minorHAnsi"/>
          <w:sz w:val="28"/>
          <w:szCs w:val="28"/>
          <w:lang w:val="en-GB"/>
        </w:rPr>
        <w:t>:</w:t>
      </w:r>
    </w:p>
    <w:p w14:paraId="206411BC" w14:textId="77777777" w:rsidR="00F807EF" w:rsidRPr="002160E3" w:rsidRDefault="00F807EF" w:rsidP="00F807EF">
      <w:pPr>
        <w:autoSpaceDE w:val="0"/>
        <w:autoSpaceDN w:val="0"/>
        <w:adjustRightInd w:val="0"/>
        <w:spacing w:after="0" w:line="240" w:lineRule="auto"/>
        <w:jc w:val="both"/>
        <w:rPr>
          <w:rFonts w:asciiTheme="minorHAnsi" w:hAnsiTheme="minorHAnsi" w:cstheme="minorHAnsi"/>
        </w:rPr>
      </w:pPr>
      <w:r w:rsidRPr="002160E3">
        <w:rPr>
          <w:rFonts w:asciiTheme="minorHAnsi" w:hAnsiTheme="minorHAnsi" w:cstheme="minorHAnsi"/>
        </w:rPr>
        <w:t xml:space="preserve">The year 2015 was characterized by steep market volatility due to a number of moving parts that included an extended slump in commodity prices coupled with concerns over global growth. </w:t>
      </w:r>
    </w:p>
    <w:p w14:paraId="3A091A8F" w14:textId="77777777" w:rsidR="00F807EF" w:rsidRPr="002160E3" w:rsidRDefault="00F807EF" w:rsidP="00F807EF">
      <w:pPr>
        <w:autoSpaceDE w:val="0"/>
        <w:autoSpaceDN w:val="0"/>
        <w:adjustRightInd w:val="0"/>
        <w:spacing w:after="0" w:line="240" w:lineRule="auto"/>
        <w:jc w:val="both"/>
        <w:rPr>
          <w:rFonts w:asciiTheme="minorHAnsi" w:hAnsiTheme="minorHAnsi" w:cstheme="minorHAnsi"/>
        </w:rPr>
      </w:pPr>
    </w:p>
    <w:p w14:paraId="0A4CC1CF" w14:textId="77777777" w:rsidR="00BA1AE7" w:rsidRPr="002160E3" w:rsidRDefault="00F807EF" w:rsidP="00BA1AE7">
      <w:pPr>
        <w:autoSpaceDE w:val="0"/>
        <w:autoSpaceDN w:val="0"/>
        <w:adjustRightInd w:val="0"/>
        <w:spacing w:after="0" w:line="240" w:lineRule="auto"/>
        <w:jc w:val="both"/>
        <w:rPr>
          <w:rFonts w:asciiTheme="minorHAnsi" w:hAnsiTheme="minorHAnsi" w:cstheme="minorHAnsi"/>
        </w:rPr>
      </w:pPr>
      <w:r w:rsidRPr="002160E3">
        <w:rPr>
          <w:rFonts w:asciiTheme="minorHAnsi" w:hAnsiTheme="minorHAnsi" w:cstheme="minorHAnsi"/>
        </w:rPr>
        <w:t>Oil and commodity indices were the most battered asset classes during 2015 across the globe.</w:t>
      </w:r>
      <w:r w:rsidR="00BA1AE7" w:rsidRPr="002160E3">
        <w:rPr>
          <w:rFonts w:asciiTheme="minorHAnsi" w:hAnsiTheme="minorHAnsi" w:cstheme="minorHAnsi"/>
        </w:rPr>
        <w:t xml:space="preserve"> And thus, deflationary pressures have been reinforcing themselves again across the world</w:t>
      </w:r>
    </w:p>
    <w:p w14:paraId="3DB3DE38" w14:textId="77777777" w:rsidR="00F807EF" w:rsidRPr="002160E3" w:rsidRDefault="00F807EF" w:rsidP="00F807EF">
      <w:pPr>
        <w:autoSpaceDE w:val="0"/>
        <w:autoSpaceDN w:val="0"/>
        <w:adjustRightInd w:val="0"/>
        <w:spacing w:after="0" w:line="240" w:lineRule="auto"/>
        <w:jc w:val="both"/>
        <w:rPr>
          <w:rFonts w:asciiTheme="minorHAnsi" w:hAnsiTheme="minorHAnsi" w:cstheme="minorHAnsi"/>
        </w:rPr>
      </w:pPr>
    </w:p>
    <w:p w14:paraId="3860D0C7" w14:textId="77777777" w:rsidR="00F807EF" w:rsidRPr="002160E3" w:rsidRDefault="00F807EF" w:rsidP="00F807EF">
      <w:pPr>
        <w:autoSpaceDE w:val="0"/>
        <w:autoSpaceDN w:val="0"/>
        <w:adjustRightInd w:val="0"/>
        <w:spacing w:after="0" w:line="240" w:lineRule="auto"/>
        <w:jc w:val="both"/>
        <w:rPr>
          <w:rFonts w:asciiTheme="minorHAnsi" w:hAnsiTheme="minorHAnsi" w:cstheme="minorHAnsi"/>
        </w:rPr>
      </w:pPr>
      <w:r w:rsidRPr="002160E3">
        <w:rPr>
          <w:rFonts w:asciiTheme="minorHAnsi" w:hAnsiTheme="minorHAnsi" w:cstheme="minorHAnsi"/>
        </w:rPr>
        <w:t xml:space="preserve">The year also witnessed the worst quarterly performance since 2011 during Q3-15 as global equity markets lost more than USD 11 </w:t>
      </w:r>
      <w:r w:rsidR="00D0270B">
        <w:rPr>
          <w:rFonts w:asciiTheme="minorHAnsi" w:hAnsiTheme="minorHAnsi" w:cstheme="minorHAnsi"/>
        </w:rPr>
        <w:t>t</w:t>
      </w:r>
      <w:r w:rsidRPr="002160E3">
        <w:rPr>
          <w:rFonts w:asciiTheme="minorHAnsi" w:hAnsiTheme="minorHAnsi" w:cstheme="minorHAnsi"/>
        </w:rPr>
        <w:t>rillion worth of market capitalization owing to poor performance due to weakness in commodities markets, China’s currency devaluation during August-15 and cautiousness surrounding of a US rate hike.</w:t>
      </w:r>
    </w:p>
    <w:p w14:paraId="7536323D" w14:textId="77777777" w:rsidR="00F807EF" w:rsidRPr="002160E3" w:rsidRDefault="00F807EF" w:rsidP="00F807EF">
      <w:pPr>
        <w:autoSpaceDE w:val="0"/>
        <w:autoSpaceDN w:val="0"/>
        <w:adjustRightInd w:val="0"/>
        <w:spacing w:after="0" w:line="240" w:lineRule="auto"/>
        <w:jc w:val="both"/>
        <w:rPr>
          <w:rFonts w:asciiTheme="minorHAnsi" w:hAnsiTheme="minorHAnsi" w:cstheme="minorHAnsi"/>
        </w:rPr>
      </w:pPr>
    </w:p>
    <w:p w14:paraId="3B324718" w14:textId="77777777" w:rsidR="00AF7E5A" w:rsidRDefault="00AF7E5A" w:rsidP="00AF7E5A">
      <w:pPr>
        <w:pStyle w:val="ListParagraph"/>
        <w:autoSpaceDE w:val="0"/>
        <w:autoSpaceDN w:val="0"/>
        <w:adjustRightInd w:val="0"/>
        <w:spacing w:after="0" w:line="240" w:lineRule="auto"/>
        <w:jc w:val="both"/>
        <w:rPr>
          <w:rFonts w:asciiTheme="minorHAnsi" w:hAnsiTheme="minorHAnsi" w:cstheme="minorHAnsi"/>
        </w:rPr>
      </w:pPr>
    </w:p>
    <w:p w14:paraId="12DE4401" w14:textId="77777777" w:rsidR="000D3C70" w:rsidRDefault="000D3C70" w:rsidP="00AF7E5A">
      <w:pPr>
        <w:pStyle w:val="ListParagraph"/>
        <w:autoSpaceDE w:val="0"/>
        <w:autoSpaceDN w:val="0"/>
        <w:adjustRightInd w:val="0"/>
        <w:spacing w:after="0" w:line="240" w:lineRule="auto"/>
        <w:jc w:val="both"/>
        <w:rPr>
          <w:rFonts w:asciiTheme="minorHAnsi" w:hAnsiTheme="minorHAnsi" w:cstheme="minorHAnsi"/>
        </w:rPr>
      </w:pPr>
    </w:p>
    <w:p w14:paraId="73E39D7F" w14:textId="77777777" w:rsidR="000D3C70" w:rsidRPr="002160E3" w:rsidRDefault="000D3C70" w:rsidP="00AF7E5A">
      <w:pPr>
        <w:pStyle w:val="ListParagraph"/>
        <w:autoSpaceDE w:val="0"/>
        <w:autoSpaceDN w:val="0"/>
        <w:adjustRightInd w:val="0"/>
        <w:spacing w:after="0" w:line="240" w:lineRule="auto"/>
        <w:jc w:val="both"/>
        <w:rPr>
          <w:rFonts w:asciiTheme="minorHAnsi" w:hAnsiTheme="minorHAnsi" w:cstheme="minorHAnsi"/>
        </w:rPr>
      </w:pPr>
    </w:p>
    <w:p w14:paraId="7E1E07BF" w14:textId="77777777" w:rsidR="00E730D3" w:rsidRPr="002160E3" w:rsidRDefault="00EA6473" w:rsidP="006B2806">
      <w:pPr>
        <w:pStyle w:val="Title"/>
        <w:rPr>
          <w:rFonts w:asciiTheme="minorHAnsi" w:hAnsiTheme="minorHAnsi"/>
          <w:sz w:val="28"/>
          <w:szCs w:val="28"/>
          <w:lang w:val="en-GB"/>
        </w:rPr>
      </w:pPr>
      <w:r w:rsidRPr="002160E3">
        <w:rPr>
          <w:rFonts w:asciiTheme="minorHAnsi" w:hAnsiTheme="minorHAnsi"/>
          <w:sz w:val="28"/>
          <w:szCs w:val="28"/>
          <w:lang w:val="en-GB"/>
        </w:rPr>
        <w:lastRenderedPageBreak/>
        <w:t>GCC Econom</w:t>
      </w:r>
      <w:r w:rsidR="00EA363F" w:rsidRPr="002160E3">
        <w:rPr>
          <w:rFonts w:asciiTheme="minorHAnsi" w:hAnsiTheme="minorHAnsi"/>
          <w:sz w:val="28"/>
          <w:szCs w:val="28"/>
          <w:lang w:val="en-GB"/>
        </w:rPr>
        <w:t>ic Landscape</w:t>
      </w:r>
      <w:r w:rsidRPr="002160E3">
        <w:rPr>
          <w:rFonts w:asciiTheme="minorHAnsi" w:hAnsiTheme="minorHAnsi"/>
          <w:sz w:val="28"/>
          <w:szCs w:val="28"/>
          <w:lang w:val="en-GB"/>
        </w:rPr>
        <w:t xml:space="preserve">: </w:t>
      </w:r>
      <w:r w:rsidR="00E730D3" w:rsidRPr="002160E3">
        <w:rPr>
          <w:rFonts w:asciiTheme="minorHAnsi" w:hAnsiTheme="minorHAnsi"/>
          <w:sz w:val="28"/>
          <w:szCs w:val="28"/>
          <w:lang w:val="en-GB"/>
        </w:rPr>
        <w:t xml:space="preserve"> </w:t>
      </w:r>
    </w:p>
    <w:p w14:paraId="611C18E7" w14:textId="77777777" w:rsidR="00B87D20" w:rsidRPr="002160E3" w:rsidRDefault="00A84B17" w:rsidP="00BA1AE7">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160E3">
        <w:rPr>
          <w:rFonts w:asciiTheme="minorHAnsi" w:hAnsiTheme="minorHAnsi"/>
          <w:noProof/>
        </w:rPr>
        <w:drawing>
          <wp:anchor distT="0" distB="0" distL="114300" distR="114300" simplePos="0" relativeHeight="251660288" behindDoc="0" locked="0" layoutInCell="1" allowOverlap="1" wp14:anchorId="2F6C2739" wp14:editId="63298F2B">
            <wp:simplePos x="0" y="0"/>
            <wp:positionH relativeFrom="column">
              <wp:posOffset>4304665</wp:posOffset>
            </wp:positionH>
            <wp:positionV relativeFrom="paragraph">
              <wp:posOffset>48260</wp:posOffset>
            </wp:positionV>
            <wp:extent cx="1628775" cy="147447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9259" t="4278" r="15926" b="24064"/>
                    <a:stretch/>
                  </pic:blipFill>
                  <pic:spPr bwMode="auto">
                    <a:xfrm>
                      <a:off x="0" y="0"/>
                      <a:ext cx="1628775"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7D20" w:rsidRPr="002160E3">
        <w:rPr>
          <w:rFonts w:asciiTheme="minorHAnsi" w:hAnsiTheme="minorHAnsi" w:cstheme="minorHAnsi"/>
        </w:rPr>
        <w:t xml:space="preserve">Rising oil price post-2009 boosted the GCC markets’ performance and led to building up off a huge fiscal surplus. However, crude oil price started to decline from </w:t>
      </w:r>
      <w:r w:rsidR="00DE5F32" w:rsidRPr="002160E3">
        <w:rPr>
          <w:rFonts w:asciiTheme="minorHAnsi" w:hAnsiTheme="minorHAnsi" w:cstheme="minorHAnsi"/>
        </w:rPr>
        <w:t xml:space="preserve">end of </w:t>
      </w:r>
      <w:r w:rsidR="00B87D20" w:rsidRPr="002160E3">
        <w:rPr>
          <w:rFonts w:asciiTheme="minorHAnsi" w:hAnsiTheme="minorHAnsi" w:cstheme="minorHAnsi"/>
        </w:rPr>
        <w:t xml:space="preserve">2014 when it declined by 45.0% and in 2015 by 16.2%. </w:t>
      </w:r>
      <w:r w:rsidR="00BA1AE7" w:rsidRPr="002160E3">
        <w:rPr>
          <w:rFonts w:asciiTheme="minorHAnsi" w:hAnsiTheme="minorHAnsi" w:cstheme="minorHAnsi"/>
        </w:rPr>
        <w:t>The Fed rate hike has resulted in strengthening of the US Dollar thus adding further pressure on oil.</w:t>
      </w:r>
    </w:p>
    <w:p w14:paraId="0DF45320" w14:textId="77777777" w:rsidR="00A84B17" w:rsidRPr="002160E3" w:rsidRDefault="00A84B17" w:rsidP="00A84B17">
      <w:pPr>
        <w:pStyle w:val="ListParagraph"/>
        <w:autoSpaceDE w:val="0"/>
        <w:autoSpaceDN w:val="0"/>
        <w:adjustRightInd w:val="0"/>
        <w:spacing w:after="0" w:line="240" w:lineRule="auto"/>
        <w:jc w:val="both"/>
        <w:rPr>
          <w:rFonts w:asciiTheme="minorHAnsi" w:hAnsiTheme="minorHAnsi" w:cstheme="minorHAnsi"/>
        </w:rPr>
      </w:pPr>
    </w:p>
    <w:p w14:paraId="7125BA1B" w14:textId="77777777" w:rsidR="00BA1AE7" w:rsidRPr="002160E3" w:rsidRDefault="00BA1AE7" w:rsidP="00BA1AE7">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160E3">
        <w:rPr>
          <w:rFonts w:asciiTheme="minorHAnsi" w:hAnsiTheme="minorHAnsi" w:cstheme="minorHAnsi"/>
        </w:rPr>
        <w:t>Amongst some of the other major events that took place this year were opening up of the Saudi exchange to foreigners, removal of sanctions imposed on Iran, the war in Yemen and escalation of the ISIS threat.</w:t>
      </w:r>
    </w:p>
    <w:p w14:paraId="4F618296" w14:textId="77777777" w:rsidR="00BA1AE7" w:rsidRPr="002160E3" w:rsidRDefault="00BA1AE7" w:rsidP="00BA1AE7">
      <w:pPr>
        <w:pStyle w:val="ListParagraph"/>
        <w:autoSpaceDE w:val="0"/>
        <w:autoSpaceDN w:val="0"/>
        <w:adjustRightInd w:val="0"/>
        <w:spacing w:after="0" w:line="240" w:lineRule="auto"/>
        <w:jc w:val="both"/>
        <w:rPr>
          <w:rFonts w:asciiTheme="minorHAnsi" w:hAnsiTheme="minorHAnsi" w:cstheme="minorHAnsi"/>
        </w:rPr>
      </w:pPr>
    </w:p>
    <w:p w14:paraId="6ADB9A2B" w14:textId="77777777" w:rsidR="00CC0076" w:rsidRPr="002160E3" w:rsidRDefault="00B87D20" w:rsidP="00B87D20">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160E3">
        <w:rPr>
          <w:rFonts w:asciiTheme="minorHAnsi" w:hAnsiTheme="minorHAnsi" w:cstheme="minorHAnsi"/>
        </w:rPr>
        <w:t>However, the recent crash seems to have priced in low oil price and spending cuts initiated across GCC. Continued decline in oil price prompted GCC countries, particularly Saudi Arabia to introduce major spending cuts in their budget along with removal of subsidies</w:t>
      </w:r>
    </w:p>
    <w:p w14:paraId="05B6501F" w14:textId="77777777" w:rsidR="00CC0076" w:rsidRPr="002160E3" w:rsidRDefault="00CC0076" w:rsidP="00CC0076">
      <w:pPr>
        <w:pStyle w:val="ListParagraph"/>
        <w:autoSpaceDE w:val="0"/>
        <w:autoSpaceDN w:val="0"/>
        <w:adjustRightInd w:val="0"/>
        <w:spacing w:after="0" w:line="240" w:lineRule="auto"/>
        <w:jc w:val="both"/>
        <w:rPr>
          <w:rFonts w:asciiTheme="minorHAnsi" w:hAnsiTheme="minorHAnsi" w:cstheme="minorHAnsi"/>
        </w:rPr>
      </w:pPr>
    </w:p>
    <w:p w14:paraId="3E2C6956" w14:textId="77777777" w:rsidR="00A562DA" w:rsidRPr="002160E3" w:rsidRDefault="00BD6D9B" w:rsidP="00BD6D9B">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160E3">
        <w:rPr>
          <w:rFonts w:asciiTheme="minorHAnsi" w:hAnsiTheme="minorHAnsi" w:cstheme="minorHAnsi"/>
        </w:rPr>
        <w:t>Dismal Year for the GCC equities amid further fall in oil prices, increased geopolitical tensions and emerging concerns on global economic weakness. The markets saw significant foreign outflows from the region since 2008 financial crisis</w:t>
      </w:r>
      <w:r w:rsidR="00A562DA" w:rsidRPr="002160E3">
        <w:rPr>
          <w:rFonts w:asciiTheme="minorHAnsi" w:hAnsiTheme="minorHAnsi" w:cstheme="minorHAnsi"/>
        </w:rPr>
        <w:t>.</w:t>
      </w:r>
      <w:r w:rsidR="009C6666" w:rsidRPr="002160E3">
        <w:rPr>
          <w:rFonts w:asciiTheme="minorHAnsi" w:hAnsiTheme="minorHAnsi" w:cstheme="minorHAnsi"/>
        </w:rPr>
        <w:t xml:space="preserve"> </w:t>
      </w:r>
    </w:p>
    <w:p w14:paraId="48D1EB4C" w14:textId="77777777" w:rsidR="0008314B" w:rsidRPr="002160E3" w:rsidRDefault="0008314B" w:rsidP="005E0CD0">
      <w:pPr>
        <w:autoSpaceDE w:val="0"/>
        <w:autoSpaceDN w:val="0"/>
        <w:adjustRightInd w:val="0"/>
        <w:spacing w:after="0" w:line="240" w:lineRule="auto"/>
        <w:jc w:val="both"/>
        <w:rPr>
          <w:rFonts w:asciiTheme="minorHAnsi" w:hAnsiTheme="minorHAnsi" w:cstheme="minorHAnsi"/>
        </w:rPr>
      </w:pPr>
    </w:p>
    <w:tbl>
      <w:tblPr>
        <w:tblStyle w:val="LightShading-Accent1"/>
        <w:tblW w:w="0" w:type="auto"/>
        <w:tblInd w:w="720" w:type="dxa"/>
        <w:tblLook w:val="04A0" w:firstRow="1" w:lastRow="0" w:firstColumn="1" w:lastColumn="0" w:noHBand="0" w:noVBand="1"/>
      </w:tblPr>
      <w:tblGrid>
        <w:gridCol w:w="1697"/>
        <w:gridCol w:w="764"/>
        <w:gridCol w:w="1064"/>
        <w:gridCol w:w="1064"/>
        <w:gridCol w:w="1064"/>
        <w:gridCol w:w="1064"/>
        <w:gridCol w:w="1064"/>
        <w:gridCol w:w="1064"/>
      </w:tblGrid>
      <w:tr w:rsidR="005E0CD0" w:rsidRPr="002160E3" w14:paraId="0C64BF9D" w14:textId="77777777" w:rsidTr="00871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383CA165" w14:textId="77777777" w:rsidR="005E0CD0" w:rsidRPr="002160E3" w:rsidRDefault="005E0CD0" w:rsidP="005E0CD0">
            <w:pPr>
              <w:autoSpaceDE w:val="0"/>
              <w:autoSpaceDN w:val="0"/>
              <w:adjustRightInd w:val="0"/>
              <w:spacing w:after="0" w:line="240" w:lineRule="auto"/>
              <w:jc w:val="both"/>
              <w:rPr>
                <w:rFonts w:asciiTheme="minorHAnsi" w:hAnsiTheme="minorHAnsi" w:cstheme="minorHAnsi"/>
                <w:color w:val="auto"/>
              </w:rPr>
            </w:pPr>
            <w:r w:rsidRPr="002160E3">
              <w:rPr>
                <w:rFonts w:asciiTheme="minorHAnsi" w:hAnsiTheme="minorHAnsi" w:cstheme="minorHAnsi"/>
                <w:color w:val="auto"/>
              </w:rPr>
              <w:t xml:space="preserve">Market Index Performance </w:t>
            </w:r>
          </w:p>
        </w:tc>
        <w:tc>
          <w:tcPr>
            <w:tcW w:w="764" w:type="dxa"/>
          </w:tcPr>
          <w:p w14:paraId="090870EB" w14:textId="77777777" w:rsidR="005E0CD0" w:rsidRPr="002160E3" w:rsidRDefault="005E0CD0" w:rsidP="0008314B">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Abu Dhabi</w:t>
            </w:r>
          </w:p>
        </w:tc>
        <w:tc>
          <w:tcPr>
            <w:tcW w:w="1064" w:type="dxa"/>
          </w:tcPr>
          <w:p w14:paraId="23E096F4" w14:textId="77777777" w:rsidR="005E0CD0" w:rsidRPr="002160E3" w:rsidRDefault="005E0CD0" w:rsidP="0008314B">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Bahrain</w:t>
            </w:r>
          </w:p>
        </w:tc>
        <w:tc>
          <w:tcPr>
            <w:tcW w:w="1064" w:type="dxa"/>
          </w:tcPr>
          <w:p w14:paraId="7A0BCF3A" w14:textId="77777777" w:rsidR="005E0CD0" w:rsidRPr="002160E3" w:rsidRDefault="005E0CD0" w:rsidP="0008314B">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Dubai</w:t>
            </w:r>
          </w:p>
        </w:tc>
        <w:tc>
          <w:tcPr>
            <w:tcW w:w="1064" w:type="dxa"/>
          </w:tcPr>
          <w:p w14:paraId="3219D3F0" w14:textId="77777777" w:rsidR="005E0CD0" w:rsidRPr="002160E3" w:rsidRDefault="005E0CD0" w:rsidP="0008314B">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Kuwait</w:t>
            </w:r>
          </w:p>
        </w:tc>
        <w:tc>
          <w:tcPr>
            <w:tcW w:w="1064" w:type="dxa"/>
          </w:tcPr>
          <w:p w14:paraId="23E47F5F" w14:textId="77777777" w:rsidR="005E0CD0" w:rsidRPr="002160E3" w:rsidRDefault="005E0CD0" w:rsidP="0008314B">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Oman</w:t>
            </w:r>
          </w:p>
        </w:tc>
        <w:tc>
          <w:tcPr>
            <w:tcW w:w="1064" w:type="dxa"/>
          </w:tcPr>
          <w:p w14:paraId="0FF7298B" w14:textId="77777777" w:rsidR="005E0CD0" w:rsidRPr="002160E3" w:rsidRDefault="005E0CD0" w:rsidP="0008314B">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Qatar</w:t>
            </w:r>
          </w:p>
        </w:tc>
        <w:tc>
          <w:tcPr>
            <w:tcW w:w="1064" w:type="dxa"/>
          </w:tcPr>
          <w:p w14:paraId="18017EA8" w14:textId="77777777" w:rsidR="005E0CD0" w:rsidRPr="002160E3" w:rsidRDefault="005E0CD0" w:rsidP="0008314B">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Saudi Arabia</w:t>
            </w:r>
          </w:p>
        </w:tc>
      </w:tr>
      <w:tr w:rsidR="005E0CD0" w:rsidRPr="002160E3" w14:paraId="2E3DA853" w14:textId="77777777" w:rsidTr="00871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tcPr>
          <w:p w14:paraId="10178F94" w14:textId="77777777" w:rsidR="005E0CD0" w:rsidRPr="002160E3" w:rsidRDefault="00562C8A" w:rsidP="00BD6D9B">
            <w:pPr>
              <w:autoSpaceDE w:val="0"/>
              <w:autoSpaceDN w:val="0"/>
              <w:adjustRightInd w:val="0"/>
              <w:spacing w:after="0" w:line="240" w:lineRule="auto"/>
              <w:jc w:val="both"/>
              <w:rPr>
                <w:rFonts w:asciiTheme="minorHAnsi" w:hAnsiTheme="minorHAnsi" w:cstheme="minorHAnsi"/>
                <w:b w:val="0"/>
                <w:color w:val="auto"/>
              </w:rPr>
            </w:pPr>
            <w:r w:rsidRPr="002160E3">
              <w:rPr>
                <w:rFonts w:asciiTheme="minorHAnsi" w:hAnsiTheme="minorHAnsi" w:cstheme="minorHAnsi"/>
                <w:b w:val="0"/>
                <w:color w:val="auto"/>
              </w:rPr>
              <w:t>201</w:t>
            </w:r>
            <w:r w:rsidR="00BD6D9B" w:rsidRPr="002160E3">
              <w:rPr>
                <w:rFonts w:asciiTheme="minorHAnsi" w:hAnsiTheme="minorHAnsi" w:cstheme="minorHAnsi"/>
                <w:b w:val="0"/>
                <w:color w:val="auto"/>
              </w:rPr>
              <w:t>5</w:t>
            </w:r>
          </w:p>
        </w:tc>
        <w:tc>
          <w:tcPr>
            <w:tcW w:w="764" w:type="dxa"/>
          </w:tcPr>
          <w:p w14:paraId="72EBD450" w14:textId="77777777" w:rsidR="005E0CD0" w:rsidRPr="002160E3" w:rsidRDefault="00BD6D9B" w:rsidP="0008314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-4.9</w:t>
            </w:r>
            <w:r w:rsidR="004114B8" w:rsidRPr="002160E3">
              <w:rPr>
                <w:rFonts w:asciiTheme="minorHAnsi" w:hAnsiTheme="minorHAnsi" w:cstheme="minorHAnsi"/>
                <w:color w:val="auto"/>
              </w:rPr>
              <w:t>%</w:t>
            </w:r>
          </w:p>
        </w:tc>
        <w:tc>
          <w:tcPr>
            <w:tcW w:w="1064" w:type="dxa"/>
          </w:tcPr>
          <w:p w14:paraId="5C3D0011" w14:textId="77777777" w:rsidR="005E0CD0" w:rsidRPr="002160E3" w:rsidRDefault="00BD6D9B" w:rsidP="0008314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-14.8%</w:t>
            </w:r>
          </w:p>
        </w:tc>
        <w:tc>
          <w:tcPr>
            <w:tcW w:w="1064" w:type="dxa"/>
          </w:tcPr>
          <w:p w14:paraId="2B386185" w14:textId="77777777" w:rsidR="005E0CD0" w:rsidRPr="002160E3" w:rsidRDefault="00BD6D9B" w:rsidP="00BD6D9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-16</w:t>
            </w:r>
            <w:r w:rsidR="004114B8" w:rsidRPr="002160E3">
              <w:rPr>
                <w:rFonts w:asciiTheme="minorHAnsi" w:hAnsiTheme="minorHAnsi" w:cstheme="minorHAnsi"/>
                <w:color w:val="auto"/>
              </w:rPr>
              <w:t>.</w:t>
            </w:r>
            <w:r w:rsidRPr="002160E3">
              <w:rPr>
                <w:rFonts w:asciiTheme="minorHAnsi" w:hAnsiTheme="minorHAnsi" w:cstheme="minorHAnsi"/>
                <w:color w:val="auto"/>
              </w:rPr>
              <w:t>5</w:t>
            </w:r>
            <w:r w:rsidR="004114B8" w:rsidRPr="002160E3">
              <w:rPr>
                <w:rFonts w:asciiTheme="minorHAnsi" w:hAnsiTheme="minorHAnsi" w:cstheme="minorHAnsi"/>
                <w:color w:val="auto"/>
              </w:rPr>
              <w:t>%</w:t>
            </w:r>
          </w:p>
        </w:tc>
        <w:tc>
          <w:tcPr>
            <w:tcW w:w="1064" w:type="dxa"/>
          </w:tcPr>
          <w:p w14:paraId="2D0200E3" w14:textId="77777777" w:rsidR="005E0CD0" w:rsidRPr="002160E3" w:rsidRDefault="004114B8" w:rsidP="00BD6D9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-13.</w:t>
            </w:r>
            <w:r w:rsidR="00BD6D9B" w:rsidRPr="002160E3">
              <w:rPr>
                <w:rFonts w:asciiTheme="minorHAnsi" w:hAnsiTheme="minorHAnsi" w:cstheme="minorHAnsi"/>
                <w:color w:val="auto"/>
              </w:rPr>
              <w:t>0</w:t>
            </w:r>
            <w:r w:rsidRPr="002160E3">
              <w:rPr>
                <w:rFonts w:asciiTheme="minorHAnsi" w:hAnsiTheme="minorHAnsi" w:cstheme="minorHAnsi"/>
                <w:color w:val="auto"/>
              </w:rPr>
              <w:t>%</w:t>
            </w:r>
          </w:p>
        </w:tc>
        <w:tc>
          <w:tcPr>
            <w:tcW w:w="1064" w:type="dxa"/>
          </w:tcPr>
          <w:p w14:paraId="40E8C893" w14:textId="77777777" w:rsidR="005E0CD0" w:rsidRPr="002160E3" w:rsidRDefault="004114B8" w:rsidP="00BD6D9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w:t>
            </w:r>
            <w:r w:rsidR="00BD6D9B" w:rsidRPr="002160E3">
              <w:rPr>
                <w:rFonts w:asciiTheme="minorHAnsi" w:hAnsiTheme="minorHAnsi" w:cstheme="minorHAnsi"/>
                <w:color w:val="auto"/>
              </w:rPr>
              <w:t>14.8</w:t>
            </w:r>
            <w:r w:rsidRPr="002160E3">
              <w:rPr>
                <w:rFonts w:asciiTheme="minorHAnsi" w:hAnsiTheme="minorHAnsi" w:cstheme="minorHAnsi"/>
                <w:color w:val="auto"/>
              </w:rPr>
              <w:t>%</w:t>
            </w:r>
          </w:p>
        </w:tc>
        <w:tc>
          <w:tcPr>
            <w:tcW w:w="1064" w:type="dxa"/>
          </w:tcPr>
          <w:p w14:paraId="3D638D83" w14:textId="77777777" w:rsidR="005E0CD0" w:rsidRPr="002160E3" w:rsidRDefault="00BD6D9B" w:rsidP="0008314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-15.1%</w:t>
            </w:r>
          </w:p>
        </w:tc>
        <w:tc>
          <w:tcPr>
            <w:tcW w:w="1064" w:type="dxa"/>
          </w:tcPr>
          <w:p w14:paraId="2F38B9D3" w14:textId="77777777" w:rsidR="005E0CD0" w:rsidRPr="002160E3" w:rsidRDefault="004114B8" w:rsidP="00BD6D9B">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0E3">
              <w:rPr>
                <w:rFonts w:asciiTheme="minorHAnsi" w:hAnsiTheme="minorHAnsi" w:cstheme="minorHAnsi"/>
                <w:color w:val="auto"/>
              </w:rPr>
              <w:t>-</w:t>
            </w:r>
            <w:r w:rsidR="00BD6D9B" w:rsidRPr="002160E3">
              <w:rPr>
                <w:rFonts w:asciiTheme="minorHAnsi" w:hAnsiTheme="minorHAnsi" w:cstheme="minorHAnsi"/>
                <w:color w:val="auto"/>
              </w:rPr>
              <w:t>17.1</w:t>
            </w:r>
            <w:r w:rsidRPr="002160E3">
              <w:rPr>
                <w:rFonts w:asciiTheme="minorHAnsi" w:hAnsiTheme="minorHAnsi" w:cstheme="minorHAnsi"/>
                <w:color w:val="auto"/>
              </w:rPr>
              <w:t>%</w:t>
            </w:r>
          </w:p>
        </w:tc>
      </w:tr>
    </w:tbl>
    <w:p w14:paraId="0E6F355F" w14:textId="77777777" w:rsidR="0008314B" w:rsidRPr="002160E3" w:rsidRDefault="0008314B" w:rsidP="00EA6473">
      <w:pPr>
        <w:autoSpaceDE w:val="0"/>
        <w:autoSpaceDN w:val="0"/>
        <w:adjustRightInd w:val="0"/>
        <w:spacing w:after="0" w:line="240" w:lineRule="auto"/>
        <w:jc w:val="both"/>
        <w:rPr>
          <w:rFonts w:asciiTheme="minorHAnsi" w:hAnsiTheme="minorHAnsi" w:cstheme="minorHAnsi"/>
        </w:rPr>
      </w:pPr>
    </w:p>
    <w:p w14:paraId="5B5F4059" w14:textId="77777777" w:rsidR="009C6666" w:rsidRPr="002160E3" w:rsidRDefault="009C6666" w:rsidP="009C6666">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2160E3">
        <w:rPr>
          <w:rFonts w:asciiTheme="minorHAnsi" w:hAnsiTheme="minorHAnsi" w:cstheme="minorHAnsi"/>
        </w:rPr>
        <w:t xml:space="preserve">In terms of trading activity, total value traded on the GCC exchanges declined by almost USD 268 </w:t>
      </w:r>
      <w:proofErr w:type="spellStart"/>
      <w:r w:rsidRPr="002160E3">
        <w:rPr>
          <w:rFonts w:asciiTheme="minorHAnsi" w:hAnsiTheme="minorHAnsi" w:cstheme="minorHAnsi"/>
        </w:rPr>
        <w:t>Bn</w:t>
      </w:r>
      <w:proofErr w:type="spellEnd"/>
      <w:r w:rsidRPr="002160E3">
        <w:rPr>
          <w:rFonts w:asciiTheme="minorHAnsi" w:hAnsiTheme="minorHAnsi" w:cstheme="minorHAnsi"/>
        </w:rPr>
        <w:t xml:space="preserve"> or 33.6% to USD 528.6 </w:t>
      </w:r>
      <w:proofErr w:type="spellStart"/>
      <w:r w:rsidRPr="002160E3">
        <w:rPr>
          <w:rFonts w:asciiTheme="minorHAnsi" w:hAnsiTheme="minorHAnsi" w:cstheme="minorHAnsi"/>
        </w:rPr>
        <w:t>Bn</w:t>
      </w:r>
      <w:proofErr w:type="spellEnd"/>
      <w:r w:rsidRPr="002160E3">
        <w:rPr>
          <w:rFonts w:asciiTheme="minorHAnsi" w:hAnsiTheme="minorHAnsi" w:cstheme="minorHAnsi"/>
        </w:rPr>
        <w:t>, the highest decline in over six years.</w:t>
      </w:r>
    </w:p>
    <w:p w14:paraId="70347111" w14:textId="77777777" w:rsidR="009C6666" w:rsidRPr="002160E3" w:rsidRDefault="009C6666" w:rsidP="009C6666">
      <w:pPr>
        <w:pStyle w:val="ListParagraph"/>
        <w:autoSpaceDE w:val="0"/>
        <w:autoSpaceDN w:val="0"/>
        <w:adjustRightInd w:val="0"/>
        <w:spacing w:after="0" w:line="240" w:lineRule="auto"/>
        <w:jc w:val="both"/>
        <w:rPr>
          <w:rFonts w:asciiTheme="minorHAnsi" w:hAnsiTheme="minorHAnsi" w:cstheme="minorHAnsi"/>
        </w:rPr>
      </w:pPr>
    </w:p>
    <w:p w14:paraId="26E2981B" w14:textId="77777777" w:rsidR="009C6666" w:rsidRPr="002160E3" w:rsidRDefault="009C6666" w:rsidP="009C6666">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2160E3">
        <w:rPr>
          <w:rFonts w:asciiTheme="minorHAnsi" w:hAnsiTheme="minorHAnsi" w:cstheme="minorHAnsi"/>
        </w:rPr>
        <w:t>The reserves built over last few years and diversification efforts are helping the MENA countries</w:t>
      </w:r>
    </w:p>
    <w:p w14:paraId="5DF2121B" w14:textId="77777777" w:rsidR="00A14901" w:rsidRPr="002160E3" w:rsidRDefault="009C6666" w:rsidP="00A14901">
      <w:pPr>
        <w:pStyle w:val="ListParagraph"/>
        <w:autoSpaceDE w:val="0"/>
        <w:autoSpaceDN w:val="0"/>
        <w:adjustRightInd w:val="0"/>
        <w:spacing w:after="0" w:line="240" w:lineRule="auto"/>
        <w:jc w:val="both"/>
        <w:rPr>
          <w:rFonts w:asciiTheme="minorHAnsi" w:hAnsiTheme="minorHAnsi" w:cstheme="minorHAnsi"/>
        </w:rPr>
      </w:pPr>
      <w:proofErr w:type="gramStart"/>
      <w:r w:rsidRPr="002160E3">
        <w:rPr>
          <w:rFonts w:asciiTheme="minorHAnsi" w:hAnsiTheme="minorHAnsi" w:cstheme="minorHAnsi"/>
        </w:rPr>
        <w:t>to</w:t>
      </w:r>
      <w:proofErr w:type="gramEnd"/>
      <w:r w:rsidRPr="002160E3">
        <w:rPr>
          <w:rFonts w:asciiTheme="minorHAnsi" w:hAnsiTheme="minorHAnsi" w:cstheme="minorHAnsi"/>
        </w:rPr>
        <w:t xml:space="preserve"> cope with the challenging economic conditions. Many of the Governments such as Saudi Arabia and Oman have already started raising debt so as to finance their deficit. The GCC Governments have also embarked upon structural reforms such as increase in taxation and subsidy cuts.</w:t>
      </w:r>
      <w:r w:rsidR="00A14901" w:rsidRPr="002160E3">
        <w:rPr>
          <w:rFonts w:asciiTheme="minorHAnsi" w:hAnsiTheme="minorHAnsi" w:cstheme="minorHAnsi"/>
        </w:rPr>
        <w:t xml:space="preserve"> Low debt to GDP scenarios amongst the GCC countries provides cushion for further borrowing. The events Expo 2020 and FIFA 2022 bode well for the GCC.</w:t>
      </w:r>
    </w:p>
    <w:p w14:paraId="2AAD8EE5" w14:textId="77777777" w:rsidR="00A14901" w:rsidRPr="002160E3" w:rsidRDefault="00A14901" w:rsidP="00A14901">
      <w:pPr>
        <w:pStyle w:val="ListParagraph"/>
        <w:autoSpaceDE w:val="0"/>
        <w:autoSpaceDN w:val="0"/>
        <w:adjustRightInd w:val="0"/>
        <w:spacing w:after="0" w:line="240" w:lineRule="auto"/>
        <w:jc w:val="both"/>
        <w:rPr>
          <w:rFonts w:asciiTheme="minorHAnsi" w:hAnsiTheme="minorHAnsi" w:cstheme="minorHAnsi"/>
        </w:rPr>
      </w:pPr>
    </w:p>
    <w:p w14:paraId="5F4FAF0C" w14:textId="77777777" w:rsidR="009C6666" w:rsidRPr="002160E3" w:rsidRDefault="009C6666" w:rsidP="00BA1AE7">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2160E3">
        <w:rPr>
          <w:rFonts w:asciiTheme="minorHAnsi" w:hAnsiTheme="minorHAnsi" w:cstheme="minorHAnsi"/>
        </w:rPr>
        <w:t>Further economic reforms are expected as we move ahead in 2016 as the countries rationalize spending only on key infrastructure projects and make sincere attempts to diversify the economy away from the oil sector and build a sustainable non-oil economy.</w:t>
      </w:r>
    </w:p>
    <w:p w14:paraId="0EFB409F" w14:textId="77777777" w:rsidR="009C6666" w:rsidRPr="002160E3" w:rsidRDefault="009C6666" w:rsidP="009C6666">
      <w:pPr>
        <w:pStyle w:val="ListParagraph"/>
        <w:autoSpaceDE w:val="0"/>
        <w:autoSpaceDN w:val="0"/>
        <w:adjustRightInd w:val="0"/>
        <w:spacing w:after="0" w:line="240" w:lineRule="auto"/>
        <w:jc w:val="both"/>
        <w:rPr>
          <w:rFonts w:asciiTheme="minorHAnsi" w:hAnsiTheme="minorHAnsi" w:cstheme="minorHAnsi"/>
        </w:rPr>
      </w:pPr>
    </w:p>
    <w:p w14:paraId="57EABE65" w14:textId="77777777" w:rsidR="005E0CD0" w:rsidRPr="002160E3" w:rsidRDefault="00564F0B" w:rsidP="006B2806">
      <w:pPr>
        <w:pStyle w:val="Title"/>
        <w:rPr>
          <w:rFonts w:asciiTheme="minorHAnsi" w:hAnsiTheme="minorHAnsi"/>
          <w:sz w:val="28"/>
          <w:szCs w:val="28"/>
          <w:lang w:val="en-GB"/>
        </w:rPr>
      </w:pPr>
      <w:r w:rsidRPr="002160E3">
        <w:rPr>
          <w:rFonts w:asciiTheme="minorHAnsi" w:hAnsiTheme="minorHAnsi"/>
          <w:sz w:val="28"/>
          <w:szCs w:val="28"/>
          <w:lang w:val="en-GB"/>
        </w:rPr>
        <w:t>Oman Economy</w:t>
      </w:r>
      <w:r w:rsidR="00A0583E" w:rsidRPr="002160E3">
        <w:rPr>
          <w:rFonts w:asciiTheme="minorHAnsi" w:hAnsiTheme="minorHAnsi"/>
          <w:sz w:val="28"/>
          <w:szCs w:val="28"/>
          <w:lang w:val="en-GB"/>
        </w:rPr>
        <w:t xml:space="preserve"> and Outlook</w:t>
      </w:r>
      <w:r w:rsidR="00421F6A" w:rsidRPr="002160E3">
        <w:rPr>
          <w:rFonts w:asciiTheme="minorHAnsi" w:hAnsiTheme="minorHAnsi"/>
          <w:sz w:val="28"/>
          <w:szCs w:val="28"/>
          <w:lang w:val="en-GB"/>
        </w:rPr>
        <w:t>:</w:t>
      </w:r>
    </w:p>
    <w:p w14:paraId="63971017" w14:textId="77777777" w:rsidR="00AD7E1A" w:rsidRPr="002160E3" w:rsidRDefault="006439C9" w:rsidP="004677BB">
      <w:pPr>
        <w:autoSpaceDE w:val="0"/>
        <w:autoSpaceDN w:val="0"/>
        <w:adjustRightInd w:val="0"/>
        <w:spacing w:after="0" w:line="240" w:lineRule="auto"/>
        <w:jc w:val="both"/>
        <w:rPr>
          <w:rFonts w:asciiTheme="minorHAnsi" w:hAnsiTheme="minorHAnsi"/>
        </w:rPr>
      </w:pPr>
      <w:r w:rsidRPr="002160E3">
        <w:rPr>
          <w:rFonts w:asciiTheme="minorHAnsi" w:hAnsiTheme="minorHAnsi"/>
        </w:rPr>
        <w:t>Overall, t</w:t>
      </w:r>
      <w:r w:rsidR="002F1C1B" w:rsidRPr="002160E3">
        <w:rPr>
          <w:rFonts w:asciiTheme="minorHAnsi" w:hAnsiTheme="minorHAnsi"/>
        </w:rPr>
        <w:t>he year, 201</w:t>
      </w:r>
      <w:r w:rsidR="00BD6D9B" w:rsidRPr="002160E3">
        <w:rPr>
          <w:rFonts w:asciiTheme="minorHAnsi" w:hAnsiTheme="minorHAnsi"/>
        </w:rPr>
        <w:t>5</w:t>
      </w:r>
      <w:r w:rsidR="002F1C1B" w:rsidRPr="002160E3">
        <w:rPr>
          <w:rFonts w:asciiTheme="minorHAnsi" w:hAnsiTheme="minorHAnsi"/>
        </w:rPr>
        <w:t xml:space="preserve"> was </w:t>
      </w:r>
      <w:r w:rsidR="0075210D" w:rsidRPr="002160E3">
        <w:rPr>
          <w:rFonts w:asciiTheme="minorHAnsi" w:hAnsiTheme="minorHAnsi"/>
        </w:rPr>
        <w:t>challenging</w:t>
      </w:r>
      <w:r w:rsidR="004677BB" w:rsidRPr="002160E3">
        <w:rPr>
          <w:rFonts w:asciiTheme="minorHAnsi" w:hAnsiTheme="minorHAnsi"/>
        </w:rPr>
        <w:t xml:space="preserve"> </w:t>
      </w:r>
      <w:r w:rsidRPr="002160E3">
        <w:rPr>
          <w:rFonts w:asciiTheme="minorHAnsi" w:hAnsiTheme="minorHAnsi"/>
        </w:rPr>
        <w:t>at different lev</w:t>
      </w:r>
      <w:r w:rsidR="004677BB" w:rsidRPr="002160E3">
        <w:rPr>
          <w:rFonts w:asciiTheme="minorHAnsi" w:hAnsiTheme="minorHAnsi"/>
        </w:rPr>
        <w:t>els, where</w:t>
      </w:r>
      <w:r w:rsidRPr="002160E3">
        <w:rPr>
          <w:rFonts w:asciiTheme="minorHAnsi" w:hAnsiTheme="minorHAnsi"/>
        </w:rPr>
        <w:t>in</w:t>
      </w:r>
      <w:r w:rsidR="004677BB" w:rsidRPr="002160E3">
        <w:rPr>
          <w:rFonts w:asciiTheme="minorHAnsi" w:hAnsiTheme="minorHAnsi"/>
        </w:rPr>
        <w:t xml:space="preserve"> the Government expenditure had a direct impact in the recovery of all the economic activities and raising the levels of the consumption sector and the export and import activities.</w:t>
      </w:r>
      <w:r w:rsidR="00AD7E1A" w:rsidRPr="002160E3">
        <w:rPr>
          <w:rFonts w:asciiTheme="minorHAnsi" w:hAnsiTheme="minorHAnsi"/>
        </w:rPr>
        <w:t xml:space="preserve"> </w:t>
      </w:r>
      <w:r w:rsidR="0075210D" w:rsidRPr="002160E3">
        <w:rPr>
          <w:rFonts w:asciiTheme="minorHAnsi" w:hAnsiTheme="minorHAnsi"/>
        </w:rPr>
        <w:t xml:space="preserve">During the </w:t>
      </w:r>
      <w:r w:rsidR="001E70A2" w:rsidRPr="002160E3">
        <w:rPr>
          <w:rFonts w:asciiTheme="minorHAnsi" w:hAnsiTheme="minorHAnsi"/>
        </w:rPr>
        <w:t>period Jan 2015-Sept</w:t>
      </w:r>
      <w:r w:rsidR="0075210D" w:rsidRPr="002160E3">
        <w:rPr>
          <w:rFonts w:asciiTheme="minorHAnsi" w:hAnsiTheme="minorHAnsi"/>
        </w:rPr>
        <w:t xml:space="preserve"> 2015</w:t>
      </w:r>
      <w:r w:rsidR="00D977C7" w:rsidRPr="002160E3">
        <w:rPr>
          <w:rFonts w:asciiTheme="minorHAnsi" w:hAnsiTheme="minorHAnsi"/>
        </w:rPr>
        <w:t xml:space="preserve">, Oman's gross domestic product (GDP) at market price </w:t>
      </w:r>
      <w:r w:rsidR="001E70A2" w:rsidRPr="002160E3">
        <w:rPr>
          <w:rFonts w:asciiTheme="minorHAnsi" w:hAnsiTheme="minorHAnsi"/>
        </w:rPr>
        <w:t>decreased</w:t>
      </w:r>
      <w:r w:rsidR="00D977C7" w:rsidRPr="002160E3">
        <w:rPr>
          <w:rFonts w:asciiTheme="minorHAnsi" w:hAnsiTheme="minorHAnsi"/>
        </w:rPr>
        <w:t xml:space="preserve"> by </w:t>
      </w:r>
      <w:r w:rsidR="001E70A2" w:rsidRPr="002160E3">
        <w:rPr>
          <w:rFonts w:asciiTheme="minorHAnsi" w:hAnsiTheme="minorHAnsi"/>
        </w:rPr>
        <w:t>14</w:t>
      </w:r>
      <w:r w:rsidR="00D977C7" w:rsidRPr="002160E3">
        <w:rPr>
          <w:rFonts w:asciiTheme="minorHAnsi" w:hAnsiTheme="minorHAnsi"/>
        </w:rPr>
        <w:t>.2% to touch RO 2</w:t>
      </w:r>
      <w:r w:rsidR="001E70A2" w:rsidRPr="002160E3">
        <w:rPr>
          <w:rFonts w:asciiTheme="minorHAnsi" w:hAnsiTheme="minorHAnsi"/>
        </w:rPr>
        <w:t>0</w:t>
      </w:r>
      <w:r w:rsidR="00D977C7" w:rsidRPr="002160E3">
        <w:rPr>
          <w:rFonts w:asciiTheme="minorHAnsi" w:hAnsiTheme="minorHAnsi"/>
        </w:rPr>
        <w:t>.</w:t>
      </w:r>
      <w:r w:rsidR="001E70A2" w:rsidRPr="002160E3">
        <w:rPr>
          <w:rFonts w:asciiTheme="minorHAnsi" w:hAnsiTheme="minorHAnsi"/>
        </w:rPr>
        <w:t>08</w:t>
      </w:r>
      <w:r w:rsidR="00D977C7" w:rsidRPr="002160E3">
        <w:rPr>
          <w:rFonts w:asciiTheme="minorHAnsi" w:hAnsiTheme="minorHAnsi"/>
        </w:rPr>
        <w:t xml:space="preserve"> billion, against RO2</w:t>
      </w:r>
      <w:r w:rsidR="001E70A2" w:rsidRPr="002160E3">
        <w:rPr>
          <w:rFonts w:asciiTheme="minorHAnsi" w:hAnsiTheme="minorHAnsi"/>
        </w:rPr>
        <w:t>3</w:t>
      </w:r>
      <w:r w:rsidR="00D977C7" w:rsidRPr="002160E3">
        <w:rPr>
          <w:rFonts w:asciiTheme="minorHAnsi" w:hAnsiTheme="minorHAnsi"/>
        </w:rPr>
        <w:t>.4</w:t>
      </w:r>
      <w:r w:rsidR="001E70A2" w:rsidRPr="002160E3">
        <w:rPr>
          <w:rFonts w:asciiTheme="minorHAnsi" w:hAnsiTheme="minorHAnsi"/>
        </w:rPr>
        <w:t>1</w:t>
      </w:r>
      <w:r w:rsidR="00D977C7" w:rsidRPr="002160E3">
        <w:rPr>
          <w:rFonts w:asciiTheme="minorHAnsi" w:hAnsiTheme="minorHAnsi"/>
        </w:rPr>
        <w:t xml:space="preserve"> billion in the previous year. </w:t>
      </w:r>
    </w:p>
    <w:p w14:paraId="355135AC" w14:textId="77777777" w:rsidR="009836CD" w:rsidRPr="002160E3" w:rsidRDefault="009836CD" w:rsidP="004677BB">
      <w:pPr>
        <w:autoSpaceDE w:val="0"/>
        <w:autoSpaceDN w:val="0"/>
        <w:adjustRightInd w:val="0"/>
        <w:spacing w:after="0" w:line="240" w:lineRule="auto"/>
        <w:jc w:val="both"/>
        <w:rPr>
          <w:rFonts w:asciiTheme="minorHAnsi" w:hAnsiTheme="minorHAnsi"/>
        </w:rPr>
      </w:pPr>
    </w:p>
    <w:p w14:paraId="0784CFDE" w14:textId="77777777" w:rsidR="00B46197" w:rsidRPr="002160E3" w:rsidRDefault="00985C04" w:rsidP="00B46197">
      <w:pPr>
        <w:autoSpaceDE w:val="0"/>
        <w:autoSpaceDN w:val="0"/>
        <w:adjustRightInd w:val="0"/>
        <w:spacing w:after="0" w:line="240" w:lineRule="auto"/>
        <w:jc w:val="both"/>
        <w:rPr>
          <w:rFonts w:asciiTheme="minorHAnsi" w:hAnsiTheme="minorHAnsi"/>
        </w:rPr>
      </w:pPr>
      <w:r w:rsidRPr="002160E3">
        <w:rPr>
          <w:rFonts w:asciiTheme="minorHAnsi" w:hAnsiTheme="minorHAnsi"/>
        </w:rPr>
        <w:t xml:space="preserve">Total </w:t>
      </w:r>
      <w:r w:rsidR="00B46197" w:rsidRPr="002160E3">
        <w:rPr>
          <w:rFonts w:asciiTheme="minorHAnsi" w:hAnsiTheme="minorHAnsi"/>
        </w:rPr>
        <w:t xml:space="preserve">government </w:t>
      </w:r>
      <w:r w:rsidR="001E70A2" w:rsidRPr="002160E3">
        <w:rPr>
          <w:rFonts w:asciiTheme="minorHAnsi" w:hAnsiTheme="minorHAnsi"/>
        </w:rPr>
        <w:t>revenues for the period Jan-Nov</w:t>
      </w:r>
      <w:r w:rsidRPr="002160E3">
        <w:rPr>
          <w:rFonts w:asciiTheme="minorHAnsi" w:hAnsiTheme="minorHAnsi"/>
        </w:rPr>
        <w:t xml:space="preserve"> 201</w:t>
      </w:r>
      <w:r w:rsidR="0075210D" w:rsidRPr="002160E3">
        <w:rPr>
          <w:rFonts w:asciiTheme="minorHAnsi" w:hAnsiTheme="minorHAnsi"/>
        </w:rPr>
        <w:t>5</w:t>
      </w:r>
      <w:r w:rsidRPr="002160E3">
        <w:rPr>
          <w:rFonts w:asciiTheme="minorHAnsi" w:hAnsiTheme="minorHAnsi"/>
        </w:rPr>
        <w:t xml:space="preserve"> were RO</w:t>
      </w:r>
      <w:r w:rsidR="001E70A2" w:rsidRPr="002160E3">
        <w:rPr>
          <w:rFonts w:asciiTheme="minorHAnsi" w:hAnsiTheme="minorHAnsi"/>
        </w:rPr>
        <w:t>7</w:t>
      </w:r>
      <w:r w:rsidR="00871059" w:rsidRPr="002160E3">
        <w:rPr>
          <w:rFonts w:asciiTheme="minorHAnsi" w:hAnsiTheme="minorHAnsi"/>
        </w:rPr>
        <w:t>.</w:t>
      </w:r>
      <w:r w:rsidR="001E70A2" w:rsidRPr="002160E3">
        <w:rPr>
          <w:rFonts w:asciiTheme="minorHAnsi" w:hAnsiTheme="minorHAnsi"/>
        </w:rPr>
        <w:t>98</w:t>
      </w:r>
      <w:r w:rsidRPr="002160E3">
        <w:rPr>
          <w:rFonts w:asciiTheme="minorHAnsi" w:hAnsiTheme="minorHAnsi"/>
        </w:rPr>
        <w:t xml:space="preserve">bn, a </w:t>
      </w:r>
      <w:r w:rsidR="00871059" w:rsidRPr="002160E3">
        <w:rPr>
          <w:rFonts w:asciiTheme="minorHAnsi" w:hAnsiTheme="minorHAnsi"/>
        </w:rPr>
        <w:t>de</w:t>
      </w:r>
      <w:r w:rsidRPr="002160E3">
        <w:rPr>
          <w:rFonts w:asciiTheme="minorHAnsi" w:hAnsiTheme="minorHAnsi"/>
        </w:rPr>
        <w:t xml:space="preserve">crease of </w:t>
      </w:r>
      <w:r w:rsidR="001E70A2" w:rsidRPr="002160E3">
        <w:rPr>
          <w:rFonts w:asciiTheme="minorHAnsi" w:hAnsiTheme="minorHAnsi"/>
        </w:rPr>
        <w:t>36</w:t>
      </w:r>
      <w:r w:rsidR="00871059" w:rsidRPr="002160E3">
        <w:rPr>
          <w:rFonts w:asciiTheme="minorHAnsi" w:hAnsiTheme="minorHAnsi"/>
        </w:rPr>
        <w:t>.0</w:t>
      </w:r>
      <w:r w:rsidRPr="002160E3">
        <w:rPr>
          <w:rFonts w:asciiTheme="minorHAnsi" w:hAnsiTheme="minorHAnsi"/>
        </w:rPr>
        <w:t xml:space="preserve">% </w:t>
      </w:r>
      <w:r w:rsidR="00170605" w:rsidRPr="002160E3">
        <w:rPr>
          <w:rFonts w:asciiTheme="minorHAnsi" w:hAnsiTheme="minorHAnsi"/>
        </w:rPr>
        <w:t xml:space="preserve">and </w:t>
      </w:r>
      <w:r w:rsidR="00871059" w:rsidRPr="002160E3">
        <w:rPr>
          <w:rFonts w:asciiTheme="minorHAnsi" w:hAnsiTheme="minorHAnsi"/>
        </w:rPr>
        <w:t xml:space="preserve">an </w:t>
      </w:r>
      <w:r w:rsidR="00170605" w:rsidRPr="002160E3">
        <w:rPr>
          <w:rFonts w:asciiTheme="minorHAnsi" w:hAnsiTheme="minorHAnsi"/>
        </w:rPr>
        <w:t xml:space="preserve">over </w:t>
      </w:r>
      <w:r w:rsidR="001E70A2" w:rsidRPr="002160E3">
        <w:rPr>
          <w:rFonts w:asciiTheme="minorHAnsi" w:hAnsiTheme="minorHAnsi"/>
        </w:rPr>
        <w:t>the same period for 2014</w:t>
      </w:r>
      <w:r w:rsidR="00170605" w:rsidRPr="002160E3">
        <w:rPr>
          <w:rFonts w:asciiTheme="minorHAnsi" w:hAnsiTheme="minorHAnsi"/>
        </w:rPr>
        <w:t xml:space="preserve">. </w:t>
      </w:r>
      <w:r w:rsidR="001E70A2" w:rsidRPr="002160E3">
        <w:rPr>
          <w:rFonts w:asciiTheme="minorHAnsi" w:hAnsiTheme="minorHAnsi"/>
        </w:rPr>
        <w:t xml:space="preserve">Net </w:t>
      </w:r>
      <w:r w:rsidRPr="002160E3">
        <w:rPr>
          <w:rFonts w:asciiTheme="minorHAnsi" w:hAnsiTheme="minorHAnsi"/>
        </w:rPr>
        <w:t>Oil revenu</w:t>
      </w:r>
      <w:r w:rsidR="00170605" w:rsidRPr="002160E3">
        <w:rPr>
          <w:rFonts w:asciiTheme="minorHAnsi" w:hAnsiTheme="minorHAnsi"/>
        </w:rPr>
        <w:t>es contributed</w:t>
      </w:r>
      <w:r w:rsidR="002F1C1B" w:rsidRPr="002160E3">
        <w:rPr>
          <w:rFonts w:asciiTheme="minorHAnsi" w:hAnsiTheme="minorHAnsi"/>
        </w:rPr>
        <w:t xml:space="preserve"> around </w:t>
      </w:r>
      <w:r w:rsidR="001E70A2" w:rsidRPr="002160E3">
        <w:rPr>
          <w:rFonts w:asciiTheme="minorHAnsi" w:hAnsiTheme="minorHAnsi"/>
        </w:rPr>
        <w:t>63</w:t>
      </w:r>
      <w:r w:rsidR="002F1C1B" w:rsidRPr="002160E3">
        <w:rPr>
          <w:rFonts w:asciiTheme="minorHAnsi" w:hAnsiTheme="minorHAnsi"/>
        </w:rPr>
        <w:t>%</w:t>
      </w:r>
      <w:r w:rsidR="00322CC2" w:rsidRPr="002160E3">
        <w:rPr>
          <w:rFonts w:asciiTheme="minorHAnsi" w:hAnsiTheme="minorHAnsi"/>
        </w:rPr>
        <w:t xml:space="preserve"> on an average realization of $</w:t>
      </w:r>
      <w:r w:rsidR="001E70A2" w:rsidRPr="002160E3">
        <w:rPr>
          <w:rFonts w:asciiTheme="minorHAnsi" w:hAnsiTheme="minorHAnsi"/>
        </w:rPr>
        <w:t>56.5</w:t>
      </w:r>
      <w:r w:rsidR="00322CC2" w:rsidRPr="002160E3">
        <w:rPr>
          <w:rFonts w:asciiTheme="minorHAnsi" w:hAnsiTheme="minorHAnsi"/>
        </w:rPr>
        <w:t>/barrel</w:t>
      </w:r>
      <w:r w:rsidR="00871059" w:rsidRPr="002160E3">
        <w:rPr>
          <w:rFonts w:asciiTheme="minorHAnsi" w:hAnsiTheme="minorHAnsi"/>
        </w:rPr>
        <w:t xml:space="preserve"> a</w:t>
      </w:r>
      <w:r w:rsidR="001E70A2" w:rsidRPr="002160E3">
        <w:rPr>
          <w:rFonts w:asciiTheme="minorHAnsi" w:hAnsiTheme="minorHAnsi"/>
        </w:rPr>
        <w:t>s against $105.5/barrel for 2014</w:t>
      </w:r>
      <w:r w:rsidRPr="002160E3">
        <w:rPr>
          <w:rFonts w:asciiTheme="minorHAnsi" w:hAnsiTheme="minorHAnsi"/>
        </w:rPr>
        <w:t xml:space="preserve">. </w:t>
      </w:r>
    </w:p>
    <w:p w14:paraId="0D273CF6" w14:textId="77777777" w:rsidR="006F1B6C" w:rsidRPr="002160E3" w:rsidRDefault="006F1B6C" w:rsidP="006F1B6C">
      <w:pPr>
        <w:autoSpaceDE w:val="0"/>
        <w:autoSpaceDN w:val="0"/>
        <w:adjustRightInd w:val="0"/>
        <w:spacing w:after="0" w:line="240" w:lineRule="auto"/>
        <w:jc w:val="both"/>
        <w:rPr>
          <w:rFonts w:asciiTheme="minorHAnsi" w:hAnsiTheme="minorHAnsi"/>
        </w:rPr>
      </w:pPr>
    </w:p>
    <w:p w14:paraId="355A5D85" w14:textId="77777777" w:rsidR="006248C4" w:rsidRPr="002160E3" w:rsidRDefault="0045247B" w:rsidP="003C0E6D">
      <w:pPr>
        <w:autoSpaceDE w:val="0"/>
        <w:autoSpaceDN w:val="0"/>
        <w:adjustRightInd w:val="0"/>
        <w:spacing w:after="0" w:line="240" w:lineRule="auto"/>
        <w:jc w:val="both"/>
        <w:rPr>
          <w:rFonts w:asciiTheme="minorHAnsi" w:hAnsiTheme="minorHAnsi"/>
          <w:sz w:val="23"/>
          <w:szCs w:val="23"/>
        </w:rPr>
      </w:pPr>
      <w:r w:rsidRPr="002160E3">
        <w:rPr>
          <w:rFonts w:asciiTheme="minorHAnsi" w:hAnsiTheme="minorHAnsi"/>
        </w:rPr>
        <w:t>Oil output averaged 981,000 barrels per day in 2015, largely hitting the production target for that year</w:t>
      </w:r>
      <w:r w:rsidR="00D0270B">
        <w:rPr>
          <w:rFonts w:asciiTheme="minorHAnsi" w:hAnsiTheme="minorHAnsi"/>
        </w:rPr>
        <w:t>. T</w:t>
      </w:r>
      <w:r w:rsidRPr="002160E3">
        <w:rPr>
          <w:rFonts w:asciiTheme="minorHAnsi" w:hAnsiTheme="minorHAnsi"/>
        </w:rPr>
        <w:t>o offset the drop in oil prices, the government has ramped up oil production, pushing its output to record levels.</w:t>
      </w:r>
      <w:r w:rsidR="006248C4" w:rsidRPr="002160E3">
        <w:rPr>
          <w:rFonts w:asciiTheme="minorHAnsi" w:hAnsiTheme="minorHAnsi"/>
        </w:rPr>
        <w:t xml:space="preserve"> </w:t>
      </w:r>
      <w:r w:rsidR="0042478B">
        <w:rPr>
          <w:rFonts w:asciiTheme="minorHAnsi" w:hAnsiTheme="minorHAnsi"/>
        </w:rPr>
        <w:t xml:space="preserve"> </w:t>
      </w:r>
      <w:r w:rsidR="003C0E6D" w:rsidRPr="002160E3">
        <w:rPr>
          <w:rFonts w:asciiTheme="minorHAnsi" w:hAnsiTheme="minorHAnsi"/>
          <w:sz w:val="23"/>
          <w:szCs w:val="23"/>
        </w:rPr>
        <w:t xml:space="preserve">Built on an estimated $45 a barrel with 990,000 barrels per day worth of oil production, the total budgeted revenues for 2016 at RO 8.6bn are 25.8% lower than 2015 budgeted figures and 4% down compared to the actual. </w:t>
      </w:r>
    </w:p>
    <w:p w14:paraId="66C27AFA" w14:textId="77777777" w:rsidR="006248C4" w:rsidRPr="002160E3" w:rsidRDefault="006248C4" w:rsidP="003C0E6D">
      <w:pPr>
        <w:autoSpaceDE w:val="0"/>
        <w:autoSpaceDN w:val="0"/>
        <w:adjustRightInd w:val="0"/>
        <w:spacing w:after="0" w:line="240" w:lineRule="auto"/>
        <w:jc w:val="both"/>
        <w:rPr>
          <w:rFonts w:asciiTheme="minorHAnsi" w:hAnsiTheme="minorHAnsi"/>
          <w:sz w:val="23"/>
          <w:szCs w:val="23"/>
        </w:rPr>
      </w:pPr>
    </w:p>
    <w:p w14:paraId="4DF4A37C" w14:textId="77777777" w:rsidR="003C0E6D" w:rsidRPr="002160E3" w:rsidRDefault="003C0E6D" w:rsidP="003C0E6D">
      <w:pPr>
        <w:autoSpaceDE w:val="0"/>
        <w:autoSpaceDN w:val="0"/>
        <w:adjustRightInd w:val="0"/>
        <w:spacing w:after="0" w:line="240" w:lineRule="auto"/>
        <w:jc w:val="both"/>
        <w:rPr>
          <w:rFonts w:asciiTheme="minorHAnsi" w:hAnsiTheme="minorHAnsi"/>
          <w:sz w:val="23"/>
          <w:szCs w:val="23"/>
        </w:rPr>
      </w:pPr>
      <w:r w:rsidRPr="002160E3">
        <w:rPr>
          <w:rFonts w:asciiTheme="minorHAnsi" w:hAnsiTheme="minorHAnsi"/>
          <w:sz w:val="23"/>
          <w:szCs w:val="23"/>
        </w:rPr>
        <w:t>Total expenditure budgeted for 2016 at RO 11.9bn is down by 15.6% YoY, with current expenditure constituting 73% at RO 8.68bn. While subsidies have been lowered by RO 710mn to RO 400mn, the budgeted deficit is estimated at RO 3.3bn, 13.2% of the country’s estimated GDP for 2016.</w:t>
      </w:r>
    </w:p>
    <w:p w14:paraId="3D309DA5" w14:textId="77777777" w:rsidR="003C0E6D" w:rsidRPr="002160E3" w:rsidRDefault="003C0E6D" w:rsidP="0045247B">
      <w:pPr>
        <w:autoSpaceDE w:val="0"/>
        <w:autoSpaceDN w:val="0"/>
        <w:adjustRightInd w:val="0"/>
        <w:spacing w:after="0" w:line="240" w:lineRule="auto"/>
        <w:jc w:val="both"/>
        <w:rPr>
          <w:rFonts w:asciiTheme="minorHAnsi" w:hAnsiTheme="minorHAnsi"/>
        </w:rPr>
      </w:pPr>
    </w:p>
    <w:p w14:paraId="0D1C955E" w14:textId="77777777" w:rsidR="003C0E6D" w:rsidRPr="002160E3" w:rsidRDefault="0002117D" w:rsidP="0045247B">
      <w:pPr>
        <w:autoSpaceDE w:val="0"/>
        <w:autoSpaceDN w:val="0"/>
        <w:adjustRightInd w:val="0"/>
        <w:spacing w:after="0" w:line="240" w:lineRule="auto"/>
        <w:jc w:val="both"/>
        <w:rPr>
          <w:rFonts w:asciiTheme="minorHAnsi" w:hAnsiTheme="minorHAnsi"/>
        </w:rPr>
      </w:pPr>
      <w:r w:rsidRPr="002160E3">
        <w:rPr>
          <w:rFonts w:asciiTheme="minorHAnsi" w:hAnsiTheme="minorHAnsi"/>
          <w:noProof/>
        </w:rPr>
        <w:drawing>
          <wp:anchor distT="0" distB="0" distL="114300" distR="114300" simplePos="0" relativeHeight="251659264" behindDoc="0" locked="0" layoutInCell="1" allowOverlap="1" wp14:anchorId="4C66602D" wp14:editId="0E848C59">
            <wp:simplePos x="0" y="0"/>
            <wp:positionH relativeFrom="column">
              <wp:posOffset>-9525</wp:posOffset>
            </wp:positionH>
            <wp:positionV relativeFrom="paragraph">
              <wp:posOffset>41275</wp:posOffset>
            </wp:positionV>
            <wp:extent cx="2704465" cy="169481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04465" cy="1694815"/>
                    </a:xfrm>
                    <a:prstGeom prst="rect">
                      <a:avLst/>
                    </a:prstGeom>
                  </pic:spPr>
                </pic:pic>
              </a:graphicData>
            </a:graphic>
            <wp14:sizeRelH relativeFrom="page">
              <wp14:pctWidth>0</wp14:pctWidth>
            </wp14:sizeRelH>
            <wp14:sizeRelV relativeFrom="page">
              <wp14:pctHeight>0</wp14:pctHeight>
            </wp14:sizeRelV>
          </wp:anchor>
        </w:drawing>
      </w:r>
      <w:r w:rsidR="0045247B" w:rsidRPr="002160E3">
        <w:rPr>
          <w:rFonts w:asciiTheme="minorHAnsi" w:hAnsiTheme="minorHAnsi"/>
        </w:rPr>
        <w:t>With one of the highest breakeven oil prices in the GCC, Oman is likely to see i</w:t>
      </w:r>
      <w:r w:rsidR="003C0E6D" w:rsidRPr="002160E3">
        <w:rPr>
          <w:rFonts w:asciiTheme="minorHAnsi" w:hAnsiTheme="minorHAnsi"/>
        </w:rPr>
        <w:t>ts fiscal deficit widen in 2016, which can be c</w:t>
      </w:r>
      <w:r w:rsidR="0045247B" w:rsidRPr="002160E3">
        <w:rPr>
          <w:rFonts w:asciiTheme="minorHAnsi" w:hAnsiTheme="minorHAnsi"/>
        </w:rPr>
        <w:t>omfortably finance</w:t>
      </w:r>
      <w:r w:rsidR="003C0E6D" w:rsidRPr="002160E3">
        <w:rPr>
          <w:rFonts w:asciiTheme="minorHAnsi" w:hAnsiTheme="minorHAnsi"/>
        </w:rPr>
        <w:t>d</w:t>
      </w:r>
      <w:r w:rsidR="0045247B" w:rsidRPr="002160E3">
        <w:rPr>
          <w:rFonts w:asciiTheme="minorHAnsi" w:hAnsiTheme="minorHAnsi"/>
        </w:rPr>
        <w:t xml:space="preserve">, </w:t>
      </w:r>
      <w:r w:rsidR="003C0E6D" w:rsidRPr="002160E3">
        <w:rPr>
          <w:rFonts w:asciiTheme="minorHAnsi" w:hAnsiTheme="minorHAnsi"/>
        </w:rPr>
        <w:t>whilst</w:t>
      </w:r>
      <w:r w:rsidR="0045247B" w:rsidRPr="002160E3">
        <w:rPr>
          <w:rFonts w:asciiTheme="minorHAnsi" w:hAnsiTheme="minorHAnsi"/>
        </w:rPr>
        <w:t xml:space="preserve"> overcom</w:t>
      </w:r>
      <w:r w:rsidR="003C0E6D" w:rsidRPr="002160E3">
        <w:rPr>
          <w:rFonts w:asciiTheme="minorHAnsi" w:hAnsiTheme="minorHAnsi"/>
        </w:rPr>
        <w:t>ing</w:t>
      </w:r>
      <w:r w:rsidR="0045247B" w:rsidRPr="002160E3">
        <w:rPr>
          <w:rFonts w:asciiTheme="minorHAnsi" w:hAnsiTheme="minorHAnsi"/>
        </w:rPr>
        <w:t xml:space="preserve"> rising domestic liquidity constraints and weakening international investor confidence. </w:t>
      </w:r>
    </w:p>
    <w:p w14:paraId="1C9AE322" w14:textId="77777777" w:rsidR="003C0E6D" w:rsidRPr="002160E3" w:rsidRDefault="003C0E6D" w:rsidP="0045247B">
      <w:pPr>
        <w:autoSpaceDE w:val="0"/>
        <w:autoSpaceDN w:val="0"/>
        <w:adjustRightInd w:val="0"/>
        <w:spacing w:after="0" w:line="240" w:lineRule="auto"/>
        <w:jc w:val="both"/>
        <w:rPr>
          <w:rFonts w:asciiTheme="minorHAnsi" w:hAnsiTheme="minorHAnsi"/>
        </w:rPr>
      </w:pPr>
    </w:p>
    <w:p w14:paraId="7D085ABA" w14:textId="77777777" w:rsidR="0045247B" w:rsidRDefault="0045247B" w:rsidP="0045247B">
      <w:pPr>
        <w:autoSpaceDE w:val="0"/>
        <w:autoSpaceDN w:val="0"/>
        <w:adjustRightInd w:val="0"/>
        <w:spacing w:after="0" w:line="240" w:lineRule="auto"/>
        <w:jc w:val="both"/>
        <w:rPr>
          <w:rFonts w:asciiTheme="minorHAnsi" w:hAnsiTheme="minorHAnsi"/>
        </w:rPr>
      </w:pPr>
      <w:r w:rsidRPr="002160E3">
        <w:rPr>
          <w:rFonts w:asciiTheme="minorHAnsi" w:hAnsiTheme="minorHAnsi"/>
        </w:rPr>
        <w:t xml:space="preserve">Government debt is still relatively low, estimated at 10% of GDP in 2015, and the Central Bank of Oman (CBO) successfully tapped debt markets on behalf of the treasury in 2015, raising OMR 1.0 billion. To finance the 2016 deficit, the CBO plans to borrow more from international markets in addition to drawing on reserves and utilizing donor grants. </w:t>
      </w:r>
    </w:p>
    <w:p w14:paraId="448D876F" w14:textId="77777777" w:rsidR="0042478B" w:rsidRPr="002160E3" w:rsidRDefault="0042478B" w:rsidP="0045247B">
      <w:pPr>
        <w:autoSpaceDE w:val="0"/>
        <w:autoSpaceDN w:val="0"/>
        <w:adjustRightInd w:val="0"/>
        <w:spacing w:after="0" w:line="240" w:lineRule="auto"/>
        <w:jc w:val="both"/>
        <w:rPr>
          <w:rFonts w:asciiTheme="minorHAnsi" w:hAnsiTheme="minorHAnsi"/>
        </w:rPr>
      </w:pPr>
    </w:p>
    <w:p w14:paraId="04917C87" w14:textId="77777777" w:rsidR="0045247B" w:rsidRDefault="00CE28BD" w:rsidP="00B733F9">
      <w:pPr>
        <w:autoSpaceDE w:val="0"/>
        <w:autoSpaceDN w:val="0"/>
        <w:adjustRightInd w:val="0"/>
        <w:spacing w:after="0" w:line="240" w:lineRule="auto"/>
        <w:jc w:val="both"/>
        <w:rPr>
          <w:rFonts w:asciiTheme="minorHAnsi" w:hAnsiTheme="minorHAnsi"/>
        </w:rPr>
      </w:pPr>
      <w:r>
        <w:rPr>
          <w:rFonts w:asciiTheme="minorHAnsi" w:hAnsiTheme="minorHAnsi"/>
        </w:rPr>
        <w:t>C</w:t>
      </w:r>
      <w:r w:rsidR="0045247B" w:rsidRPr="002160E3">
        <w:rPr>
          <w:rFonts w:asciiTheme="minorHAnsi" w:hAnsiTheme="minorHAnsi"/>
        </w:rPr>
        <w:t>redit growth</w:t>
      </w:r>
      <w:r>
        <w:rPr>
          <w:rFonts w:asciiTheme="minorHAnsi" w:hAnsiTheme="minorHAnsi"/>
        </w:rPr>
        <w:t xml:space="preserve"> in the economy</w:t>
      </w:r>
      <w:r w:rsidR="0045247B" w:rsidRPr="002160E3">
        <w:rPr>
          <w:rFonts w:asciiTheme="minorHAnsi" w:hAnsiTheme="minorHAnsi"/>
        </w:rPr>
        <w:t xml:space="preserve"> remains resilient maintaining healthy growth of </w:t>
      </w:r>
      <w:r>
        <w:rPr>
          <w:rFonts w:asciiTheme="minorHAnsi" w:hAnsiTheme="minorHAnsi"/>
        </w:rPr>
        <w:t>18</w:t>
      </w:r>
      <w:r w:rsidR="0045247B" w:rsidRPr="002160E3">
        <w:rPr>
          <w:rFonts w:asciiTheme="minorHAnsi" w:hAnsiTheme="minorHAnsi"/>
        </w:rPr>
        <w:t>.</w:t>
      </w:r>
      <w:r>
        <w:rPr>
          <w:rFonts w:asciiTheme="minorHAnsi" w:hAnsiTheme="minorHAnsi"/>
        </w:rPr>
        <w:t>9</w:t>
      </w:r>
      <w:r w:rsidR="0045247B" w:rsidRPr="002160E3">
        <w:rPr>
          <w:rFonts w:asciiTheme="minorHAnsi" w:hAnsiTheme="minorHAnsi"/>
        </w:rPr>
        <w:t>% in 2015</w:t>
      </w:r>
      <w:r>
        <w:rPr>
          <w:rFonts w:asciiTheme="minorHAnsi" w:hAnsiTheme="minorHAnsi"/>
        </w:rPr>
        <w:t>, whilst the total deposits exhibited</w:t>
      </w:r>
      <w:r w:rsidR="0045247B" w:rsidRPr="002160E3">
        <w:rPr>
          <w:rFonts w:asciiTheme="minorHAnsi" w:hAnsiTheme="minorHAnsi"/>
        </w:rPr>
        <w:t xml:space="preserve">. Meanwhile, government deposits, which account for 30% of total deposits, continued to see weakening growth following the fall in oil prices, down 2% in 2015.  </w:t>
      </w:r>
    </w:p>
    <w:p w14:paraId="5C62FA4B" w14:textId="77777777" w:rsidR="0042478B" w:rsidRDefault="0042478B" w:rsidP="00B733F9">
      <w:pPr>
        <w:autoSpaceDE w:val="0"/>
        <w:autoSpaceDN w:val="0"/>
        <w:adjustRightInd w:val="0"/>
        <w:spacing w:after="0" w:line="240" w:lineRule="auto"/>
        <w:jc w:val="both"/>
        <w:rPr>
          <w:rFonts w:asciiTheme="minorHAnsi" w:hAnsiTheme="minorHAnsi"/>
        </w:rPr>
      </w:pPr>
    </w:p>
    <w:p w14:paraId="5C28F260" w14:textId="77777777" w:rsidR="0042478B" w:rsidRPr="002160E3" w:rsidRDefault="0042478B" w:rsidP="00EB1807">
      <w:pPr>
        <w:autoSpaceDE w:val="0"/>
        <w:autoSpaceDN w:val="0"/>
        <w:adjustRightInd w:val="0"/>
        <w:spacing w:after="0" w:line="240" w:lineRule="auto"/>
        <w:jc w:val="both"/>
        <w:rPr>
          <w:rFonts w:asciiTheme="minorHAnsi" w:hAnsiTheme="minorHAnsi"/>
        </w:rPr>
      </w:pPr>
      <w:r>
        <w:rPr>
          <w:rFonts w:asciiTheme="minorHAnsi" w:hAnsiTheme="minorHAnsi"/>
        </w:rPr>
        <w:t>The government has embarked on series of initiatives to increase the contribution of non-oil sector in the economy, expenditure rationalization and strategic privatization</w:t>
      </w:r>
      <w:r w:rsidR="00EB1807">
        <w:rPr>
          <w:rFonts w:asciiTheme="minorHAnsi" w:hAnsiTheme="minorHAnsi"/>
        </w:rPr>
        <w:t>.  Further, the Ni</w:t>
      </w:r>
      <w:r w:rsidR="00EB1807" w:rsidRPr="00EB1807">
        <w:rPr>
          <w:rFonts w:asciiTheme="minorHAnsi" w:hAnsiTheme="minorHAnsi"/>
        </w:rPr>
        <w:t>nth</w:t>
      </w:r>
      <w:r w:rsidR="00EB1807">
        <w:rPr>
          <w:rFonts w:asciiTheme="minorHAnsi" w:hAnsiTheme="minorHAnsi"/>
        </w:rPr>
        <w:t>-Five Year P</w:t>
      </w:r>
      <w:r w:rsidR="00EB1807" w:rsidRPr="00EB1807">
        <w:rPr>
          <w:rFonts w:asciiTheme="minorHAnsi" w:hAnsiTheme="minorHAnsi"/>
        </w:rPr>
        <w:t>lan (2016-2020)</w:t>
      </w:r>
      <w:r w:rsidR="00EB1807">
        <w:rPr>
          <w:rFonts w:asciiTheme="minorHAnsi" w:hAnsiTheme="minorHAnsi"/>
        </w:rPr>
        <w:t xml:space="preserve">, which </w:t>
      </w:r>
      <w:r w:rsidR="00EB1807" w:rsidRPr="00EB1807">
        <w:rPr>
          <w:rFonts w:asciiTheme="minorHAnsi" w:hAnsiTheme="minorHAnsi"/>
        </w:rPr>
        <w:t>is the last of the Oman Vision-2020 and will lay the f</w:t>
      </w:r>
      <w:r w:rsidR="00EB1807">
        <w:rPr>
          <w:rFonts w:asciiTheme="minorHAnsi" w:hAnsiTheme="minorHAnsi"/>
        </w:rPr>
        <w:t xml:space="preserve">oundation for Oman Vision-2040, </w:t>
      </w:r>
      <w:r w:rsidR="00EB1807" w:rsidRPr="00EB1807">
        <w:rPr>
          <w:rFonts w:asciiTheme="minorHAnsi" w:hAnsiTheme="minorHAnsi"/>
        </w:rPr>
        <w:t xml:space="preserve">targets to achieve an average annual growth rate of 3% and total investments of RO 8.2 billion annually with an average growth rate of 5%. </w:t>
      </w:r>
      <w:r>
        <w:rPr>
          <w:rFonts w:asciiTheme="minorHAnsi" w:hAnsiTheme="minorHAnsi"/>
        </w:rPr>
        <w:t xml:space="preserve"> </w:t>
      </w:r>
    </w:p>
    <w:p w14:paraId="29E732A1" w14:textId="77777777" w:rsidR="0045247B" w:rsidRPr="002160E3" w:rsidRDefault="0045247B" w:rsidP="00B733F9">
      <w:pPr>
        <w:autoSpaceDE w:val="0"/>
        <w:autoSpaceDN w:val="0"/>
        <w:adjustRightInd w:val="0"/>
        <w:spacing w:after="0" w:line="240" w:lineRule="auto"/>
        <w:jc w:val="both"/>
        <w:rPr>
          <w:rFonts w:asciiTheme="minorHAnsi" w:hAnsiTheme="minorHAnsi"/>
        </w:rPr>
      </w:pPr>
    </w:p>
    <w:p w14:paraId="258E1797" w14:textId="77777777" w:rsidR="006B2806" w:rsidRPr="002160E3" w:rsidRDefault="006B2806" w:rsidP="006B2806">
      <w:pPr>
        <w:pStyle w:val="Title"/>
        <w:rPr>
          <w:rFonts w:asciiTheme="minorHAnsi" w:hAnsiTheme="minorHAnsi"/>
          <w:sz w:val="28"/>
          <w:szCs w:val="28"/>
        </w:rPr>
      </w:pPr>
      <w:r w:rsidRPr="002160E3">
        <w:rPr>
          <w:rFonts w:asciiTheme="minorHAnsi" w:hAnsiTheme="minorHAnsi"/>
          <w:sz w:val="28"/>
          <w:szCs w:val="28"/>
        </w:rPr>
        <w:t>Performance Overview of Muscat Securities Market (MSM):</w:t>
      </w:r>
    </w:p>
    <w:p w14:paraId="572BD22C" w14:textId="77777777" w:rsidR="00BA1AE7" w:rsidRPr="002160E3" w:rsidRDefault="00BA1AE7" w:rsidP="0045247B">
      <w:pPr>
        <w:autoSpaceDE w:val="0"/>
        <w:autoSpaceDN w:val="0"/>
        <w:adjustRightInd w:val="0"/>
        <w:spacing w:after="0" w:line="240" w:lineRule="auto"/>
        <w:jc w:val="both"/>
        <w:rPr>
          <w:rFonts w:asciiTheme="minorHAnsi" w:hAnsiTheme="minorHAnsi"/>
        </w:rPr>
      </w:pPr>
      <w:r w:rsidRPr="002160E3">
        <w:rPr>
          <w:rFonts w:asciiTheme="minorHAnsi" w:hAnsiTheme="minorHAnsi"/>
        </w:rPr>
        <w:t xml:space="preserve">The MSM did see a fall in foreign interest which impacted volumes but fall in heavyweights brought down the market 14.8% in 2015. </w:t>
      </w:r>
      <w:r w:rsidR="0045247B" w:rsidRPr="002160E3">
        <w:rPr>
          <w:rFonts w:asciiTheme="minorHAnsi" w:hAnsiTheme="minorHAnsi"/>
        </w:rPr>
        <w:t>Market volatility could see some IPOs delayed in 2016, holding up the market of much needed catalysts.</w:t>
      </w:r>
    </w:p>
    <w:p w14:paraId="472AC56A" w14:textId="77777777" w:rsidR="006B2806" w:rsidRPr="002160E3" w:rsidRDefault="006B2806" w:rsidP="0045247B">
      <w:pPr>
        <w:autoSpaceDE w:val="0"/>
        <w:autoSpaceDN w:val="0"/>
        <w:adjustRightInd w:val="0"/>
        <w:spacing w:after="0" w:line="240" w:lineRule="auto"/>
        <w:jc w:val="both"/>
        <w:rPr>
          <w:rFonts w:asciiTheme="minorHAnsi" w:hAnsiTheme="minorHAnsi"/>
        </w:rPr>
      </w:pPr>
    </w:p>
    <w:p w14:paraId="4EE44EC5" w14:textId="77777777" w:rsidR="006B2806" w:rsidRPr="002160E3" w:rsidRDefault="006B2806" w:rsidP="0045247B">
      <w:pPr>
        <w:autoSpaceDE w:val="0"/>
        <w:autoSpaceDN w:val="0"/>
        <w:adjustRightInd w:val="0"/>
        <w:spacing w:after="0" w:line="240" w:lineRule="auto"/>
        <w:jc w:val="both"/>
        <w:rPr>
          <w:rFonts w:asciiTheme="minorHAnsi" w:hAnsiTheme="minorHAnsi"/>
        </w:rPr>
      </w:pPr>
    </w:p>
    <w:p w14:paraId="27AEBE8C" w14:textId="77777777" w:rsidR="006B2806" w:rsidRDefault="006B2806" w:rsidP="0045247B">
      <w:pPr>
        <w:autoSpaceDE w:val="0"/>
        <w:autoSpaceDN w:val="0"/>
        <w:adjustRightInd w:val="0"/>
        <w:spacing w:after="0" w:line="240" w:lineRule="auto"/>
        <w:jc w:val="both"/>
        <w:rPr>
          <w:rFonts w:asciiTheme="minorHAnsi" w:hAnsiTheme="minorHAnsi"/>
        </w:rPr>
      </w:pPr>
    </w:p>
    <w:p w14:paraId="75D0D8AC" w14:textId="77777777" w:rsidR="00C713DB" w:rsidRPr="002160E3" w:rsidRDefault="00C713DB" w:rsidP="0045247B">
      <w:pPr>
        <w:autoSpaceDE w:val="0"/>
        <w:autoSpaceDN w:val="0"/>
        <w:adjustRightInd w:val="0"/>
        <w:spacing w:after="0" w:line="240" w:lineRule="auto"/>
        <w:jc w:val="both"/>
        <w:rPr>
          <w:rFonts w:asciiTheme="minorHAnsi" w:hAnsiTheme="minorHAnsi"/>
        </w:rPr>
      </w:pPr>
    </w:p>
    <w:p w14:paraId="68153A30" w14:textId="77777777" w:rsidR="00BA1AE7" w:rsidRPr="002160E3" w:rsidRDefault="00BA1AE7" w:rsidP="004677BB">
      <w:pPr>
        <w:autoSpaceDE w:val="0"/>
        <w:autoSpaceDN w:val="0"/>
        <w:adjustRightInd w:val="0"/>
        <w:spacing w:after="0" w:line="240" w:lineRule="auto"/>
        <w:jc w:val="both"/>
        <w:rPr>
          <w:rFonts w:asciiTheme="minorHAnsi" w:hAnsiTheme="minorHAnsi"/>
        </w:rPr>
      </w:pPr>
    </w:p>
    <w:tbl>
      <w:tblPr>
        <w:tblW w:w="0" w:type="auto"/>
        <w:jc w:val="center"/>
        <w:tblInd w:w="93" w:type="dxa"/>
        <w:tblLayout w:type="fixed"/>
        <w:tblCellMar>
          <w:top w:w="14" w:type="dxa"/>
          <w:left w:w="115" w:type="dxa"/>
          <w:right w:w="115" w:type="dxa"/>
        </w:tblCellMar>
        <w:tblLook w:val="04A0" w:firstRow="1" w:lastRow="0" w:firstColumn="1" w:lastColumn="0" w:noHBand="0" w:noVBand="1"/>
      </w:tblPr>
      <w:tblGrid>
        <w:gridCol w:w="2895"/>
        <w:gridCol w:w="1113"/>
        <w:gridCol w:w="1191"/>
        <w:gridCol w:w="1444"/>
        <w:gridCol w:w="1121"/>
        <w:gridCol w:w="1733"/>
      </w:tblGrid>
      <w:tr w:rsidR="001E4587" w:rsidRPr="002160E3" w14:paraId="1A9CC37F" w14:textId="77777777" w:rsidTr="00337FD9">
        <w:trPr>
          <w:trHeight w:val="315"/>
          <w:jc w:val="center"/>
        </w:trPr>
        <w:tc>
          <w:tcPr>
            <w:tcW w:w="9497" w:type="dxa"/>
            <w:gridSpan w:val="6"/>
            <w:tcBorders>
              <w:top w:val="nil"/>
              <w:left w:val="nil"/>
              <w:bottom w:val="nil"/>
              <w:right w:val="nil"/>
            </w:tcBorders>
            <w:shd w:val="clear" w:color="auto" w:fill="auto"/>
            <w:noWrap/>
            <w:vAlign w:val="bottom"/>
            <w:hideMark/>
          </w:tcPr>
          <w:p w14:paraId="11663F72" w14:textId="77777777" w:rsidR="001E4587" w:rsidRPr="002160E3" w:rsidRDefault="001E4587" w:rsidP="001E4587">
            <w:pPr>
              <w:spacing w:after="0" w:line="240" w:lineRule="auto"/>
              <w:jc w:val="both"/>
              <w:rPr>
                <w:rFonts w:asciiTheme="minorHAnsi" w:eastAsia="Times New Roman" w:hAnsiTheme="minorHAnsi" w:cs="Arial"/>
                <w:lang w:val="en-GB"/>
              </w:rPr>
            </w:pPr>
            <w:r w:rsidRPr="002160E3">
              <w:rPr>
                <w:rFonts w:asciiTheme="minorHAnsi" w:eastAsia="Times New Roman" w:hAnsiTheme="minorHAnsi" w:cs="Arial"/>
                <w:b/>
                <w:bCs/>
                <w:lang w:val="en-GB"/>
              </w:rPr>
              <w:t xml:space="preserve">Summary of MSM Performance Market Capitalization by Sector Indices </w:t>
            </w:r>
            <w:r w:rsidRPr="002160E3">
              <w:rPr>
                <w:rFonts w:asciiTheme="minorHAnsi" w:eastAsia="Times New Roman" w:hAnsiTheme="minorHAnsi" w:cs="Arial"/>
                <w:bCs/>
                <w:i/>
                <w:lang w:val="en-GB"/>
              </w:rPr>
              <w:t>(Fig. in RO Billions)</w:t>
            </w:r>
          </w:p>
        </w:tc>
      </w:tr>
      <w:tr w:rsidR="007E06C1" w:rsidRPr="002160E3" w14:paraId="341F69E3" w14:textId="77777777" w:rsidTr="005D7C32">
        <w:trPr>
          <w:trHeight w:val="255"/>
          <w:jc w:val="center"/>
        </w:trPr>
        <w:tc>
          <w:tcPr>
            <w:tcW w:w="2895" w:type="dxa"/>
            <w:tcBorders>
              <w:top w:val="nil"/>
              <w:left w:val="nil"/>
              <w:bottom w:val="nil"/>
              <w:right w:val="nil"/>
            </w:tcBorders>
            <w:shd w:val="clear" w:color="auto" w:fill="auto"/>
            <w:noWrap/>
            <w:vAlign w:val="bottom"/>
            <w:hideMark/>
          </w:tcPr>
          <w:p w14:paraId="0B0492C4" w14:textId="77777777" w:rsidR="007E06C1" w:rsidRPr="002160E3" w:rsidRDefault="007E06C1" w:rsidP="00E72F6E">
            <w:pPr>
              <w:spacing w:after="0" w:line="240" w:lineRule="auto"/>
              <w:jc w:val="both"/>
              <w:rPr>
                <w:rFonts w:asciiTheme="minorHAnsi" w:eastAsia="Times New Roman" w:hAnsiTheme="minorHAnsi" w:cs="Arial"/>
                <w:lang w:val="en-GB"/>
              </w:rPr>
            </w:pPr>
          </w:p>
        </w:tc>
        <w:tc>
          <w:tcPr>
            <w:tcW w:w="1113" w:type="dxa"/>
            <w:tcBorders>
              <w:top w:val="nil"/>
              <w:left w:val="nil"/>
              <w:bottom w:val="nil"/>
              <w:right w:val="nil"/>
            </w:tcBorders>
            <w:shd w:val="clear" w:color="auto" w:fill="auto"/>
            <w:noWrap/>
            <w:vAlign w:val="bottom"/>
            <w:hideMark/>
          </w:tcPr>
          <w:p w14:paraId="497F2273" w14:textId="77777777" w:rsidR="007E06C1" w:rsidRPr="002160E3" w:rsidRDefault="007E06C1" w:rsidP="00E72F6E">
            <w:pPr>
              <w:spacing w:after="0" w:line="240" w:lineRule="auto"/>
              <w:jc w:val="both"/>
              <w:rPr>
                <w:rFonts w:asciiTheme="minorHAnsi" w:eastAsia="Times New Roman" w:hAnsiTheme="minorHAnsi" w:cs="Arial"/>
                <w:lang w:val="en-GB"/>
              </w:rPr>
            </w:pPr>
          </w:p>
        </w:tc>
        <w:tc>
          <w:tcPr>
            <w:tcW w:w="1191" w:type="dxa"/>
            <w:tcBorders>
              <w:top w:val="nil"/>
              <w:left w:val="nil"/>
              <w:bottom w:val="nil"/>
              <w:right w:val="nil"/>
            </w:tcBorders>
            <w:shd w:val="clear" w:color="auto" w:fill="auto"/>
            <w:noWrap/>
            <w:vAlign w:val="bottom"/>
            <w:hideMark/>
          </w:tcPr>
          <w:p w14:paraId="2D5966ED" w14:textId="77777777" w:rsidR="007E06C1" w:rsidRPr="002160E3" w:rsidRDefault="007E06C1" w:rsidP="00E72F6E">
            <w:pPr>
              <w:spacing w:after="0" w:line="240" w:lineRule="auto"/>
              <w:jc w:val="both"/>
              <w:rPr>
                <w:rFonts w:asciiTheme="minorHAnsi" w:eastAsia="Times New Roman" w:hAnsiTheme="minorHAnsi" w:cs="Arial"/>
                <w:lang w:val="en-GB"/>
              </w:rPr>
            </w:pPr>
          </w:p>
        </w:tc>
        <w:tc>
          <w:tcPr>
            <w:tcW w:w="1444" w:type="dxa"/>
            <w:tcBorders>
              <w:top w:val="nil"/>
              <w:left w:val="nil"/>
              <w:bottom w:val="single" w:sz="4" w:space="0" w:color="auto"/>
              <w:right w:val="nil"/>
            </w:tcBorders>
            <w:shd w:val="clear" w:color="auto" w:fill="auto"/>
            <w:noWrap/>
            <w:vAlign w:val="bottom"/>
            <w:hideMark/>
          </w:tcPr>
          <w:p w14:paraId="59CE6112" w14:textId="77777777" w:rsidR="007E06C1" w:rsidRPr="002160E3" w:rsidRDefault="007E06C1" w:rsidP="00E72F6E">
            <w:pPr>
              <w:spacing w:after="0" w:line="240" w:lineRule="auto"/>
              <w:jc w:val="both"/>
              <w:rPr>
                <w:rFonts w:asciiTheme="minorHAnsi" w:eastAsia="Times New Roman" w:hAnsiTheme="minorHAnsi" w:cs="Arial"/>
                <w:lang w:val="en-GB"/>
              </w:rPr>
            </w:pPr>
          </w:p>
        </w:tc>
        <w:tc>
          <w:tcPr>
            <w:tcW w:w="1121" w:type="dxa"/>
            <w:tcBorders>
              <w:top w:val="nil"/>
              <w:left w:val="nil"/>
              <w:bottom w:val="nil"/>
              <w:right w:val="nil"/>
            </w:tcBorders>
            <w:shd w:val="clear" w:color="auto" w:fill="auto"/>
            <w:noWrap/>
            <w:vAlign w:val="bottom"/>
            <w:hideMark/>
          </w:tcPr>
          <w:p w14:paraId="5D6EDA9C" w14:textId="77777777" w:rsidR="007E06C1" w:rsidRPr="002160E3" w:rsidRDefault="007E06C1" w:rsidP="00E72F6E">
            <w:pPr>
              <w:spacing w:after="0" w:line="240" w:lineRule="auto"/>
              <w:jc w:val="both"/>
              <w:rPr>
                <w:rFonts w:asciiTheme="minorHAnsi" w:eastAsia="Times New Roman" w:hAnsiTheme="minorHAnsi" w:cs="Arial"/>
                <w:lang w:val="en-GB"/>
              </w:rPr>
            </w:pPr>
          </w:p>
        </w:tc>
        <w:tc>
          <w:tcPr>
            <w:tcW w:w="1733" w:type="dxa"/>
            <w:tcBorders>
              <w:top w:val="nil"/>
              <w:left w:val="nil"/>
              <w:right w:val="nil"/>
            </w:tcBorders>
            <w:shd w:val="clear" w:color="auto" w:fill="auto"/>
            <w:noWrap/>
            <w:vAlign w:val="bottom"/>
            <w:hideMark/>
          </w:tcPr>
          <w:p w14:paraId="00C5822B" w14:textId="77777777" w:rsidR="007E06C1" w:rsidRPr="002160E3" w:rsidRDefault="007E06C1" w:rsidP="00E72F6E">
            <w:pPr>
              <w:spacing w:after="0" w:line="240" w:lineRule="auto"/>
              <w:jc w:val="both"/>
              <w:rPr>
                <w:rFonts w:asciiTheme="minorHAnsi" w:eastAsia="Times New Roman" w:hAnsiTheme="minorHAnsi" w:cs="Arial"/>
                <w:lang w:val="en-GB"/>
              </w:rPr>
            </w:pPr>
          </w:p>
        </w:tc>
      </w:tr>
      <w:tr w:rsidR="00BD6D9B" w:rsidRPr="002160E3" w14:paraId="40243CA0" w14:textId="77777777" w:rsidTr="005D7C32">
        <w:trPr>
          <w:trHeight w:val="255"/>
          <w:jc w:val="center"/>
        </w:trPr>
        <w:tc>
          <w:tcPr>
            <w:tcW w:w="2895" w:type="dxa"/>
            <w:tcBorders>
              <w:top w:val="single" w:sz="4" w:space="0" w:color="auto"/>
              <w:left w:val="single" w:sz="4" w:space="0" w:color="auto"/>
              <w:bottom w:val="nil"/>
              <w:right w:val="single" w:sz="4" w:space="0" w:color="auto"/>
            </w:tcBorders>
            <w:shd w:val="clear" w:color="auto" w:fill="244061" w:themeFill="accent1" w:themeFillShade="80"/>
            <w:noWrap/>
            <w:vAlign w:val="bottom"/>
            <w:hideMark/>
          </w:tcPr>
          <w:p w14:paraId="342E0122" w14:textId="77777777" w:rsidR="00BD6D9B" w:rsidRPr="002160E3" w:rsidRDefault="00BD6D9B" w:rsidP="00E72F6E">
            <w:pPr>
              <w:spacing w:after="0" w:line="240" w:lineRule="auto"/>
              <w:jc w:val="both"/>
              <w:rPr>
                <w:rFonts w:asciiTheme="minorHAnsi" w:eastAsia="Times New Roman" w:hAnsiTheme="minorHAnsi" w:cs="Arial"/>
                <w:lang w:val="en-GB"/>
              </w:rPr>
            </w:pPr>
            <w:r w:rsidRPr="002160E3">
              <w:rPr>
                <w:rFonts w:asciiTheme="minorHAnsi" w:eastAsia="Times New Roman" w:hAnsiTheme="minorHAnsi" w:cs="Arial"/>
                <w:lang w:val="en-GB"/>
              </w:rPr>
              <w:t> </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244061" w:themeFill="accent1" w:themeFillShade="80"/>
            <w:vAlign w:val="bottom"/>
            <w:hideMark/>
          </w:tcPr>
          <w:p w14:paraId="63EE4842" w14:textId="77777777" w:rsidR="00BD6D9B" w:rsidRPr="002160E3" w:rsidRDefault="00BD6D9B" w:rsidP="00812A3F">
            <w:pPr>
              <w:spacing w:after="0" w:line="240" w:lineRule="auto"/>
              <w:jc w:val="center"/>
              <w:rPr>
                <w:rFonts w:asciiTheme="minorHAnsi" w:eastAsia="Times New Roman" w:hAnsiTheme="minorHAnsi" w:cs="Arial"/>
                <w:b/>
                <w:lang w:val="en-GB"/>
              </w:rPr>
            </w:pPr>
            <w:r w:rsidRPr="002160E3">
              <w:rPr>
                <w:rFonts w:asciiTheme="minorHAnsi" w:eastAsia="Times New Roman" w:hAnsiTheme="minorHAnsi" w:cs="Arial"/>
                <w:b/>
                <w:lang w:val="en-GB"/>
              </w:rPr>
              <w:t>Mar-14</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244061" w:themeFill="accent1" w:themeFillShade="80"/>
            <w:vAlign w:val="bottom"/>
          </w:tcPr>
          <w:p w14:paraId="4756F86F" w14:textId="77777777" w:rsidR="00BD6D9B" w:rsidRPr="002160E3" w:rsidRDefault="00BD6D9B" w:rsidP="00812A3F">
            <w:pPr>
              <w:spacing w:after="0" w:line="240" w:lineRule="auto"/>
              <w:jc w:val="center"/>
              <w:rPr>
                <w:rFonts w:asciiTheme="minorHAnsi" w:eastAsia="Times New Roman" w:hAnsiTheme="minorHAnsi" w:cs="Arial"/>
                <w:b/>
                <w:lang w:val="en-GB"/>
              </w:rPr>
            </w:pPr>
            <w:r w:rsidRPr="002160E3">
              <w:rPr>
                <w:rFonts w:asciiTheme="minorHAnsi" w:eastAsia="Times New Roman" w:hAnsiTheme="minorHAnsi" w:cs="Arial"/>
                <w:b/>
                <w:lang w:val="en-GB"/>
              </w:rPr>
              <w:t>Mar-15</w:t>
            </w:r>
          </w:p>
        </w:tc>
        <w:tc>
          <w:tcPr>
            <w:tcW w:w="1444" w:type="dxa"/>
            <w:vMerge w:val="restart"/>
            <w:tcBorders>
              <w:top w:val="single" w:sz="4" w:space="0" w:color="auto"/>
              <w:left w:val="single" w:sz="4" w:space="0" w:color="auto"/>
              <w:bottom w:val="single" w:sz="4" w:space="0" w:color="000000"/>
              <w:right w:val="single" w:sz="4" w:space="0" w:color="auto"/>
            </w:tcBorders>
            <w:shd w:val="clear" w:color="auto" w:fill="244061" w:themeFill="accent1" w:themeFillShade="80"/>
            <w:vAlign w:val="bottom"/>
          </w:tcPr>
          <w:p w14:paraId="6E85A47F" w14:textId="77777777" w:rsidR="00BD6D9B" w:rsidRPr="002160E3" w:rsidRDefault="00BD6D9B" w:rsidP="00BD6D9B">
            <w:pPr>
              <w:spacing w:after="0" w:line="240" w:lineRule="auto"/>
              <w:jc w:val="center"/>
              <w:rPr>
                <w:rFonts w:asciiTheme="minorHAnsi" w:eastAsia="Times New Roman" w:hAnsiTheme="minorHAnsi" w:cs="Arial"/>
                <w:b/>
                <w:lang w:val="en-GB"/>
              </w:rPr>
            </w:pPr>
            <w:r w:rsidRPr="002160E3">
              <w:rPr>
                <w:rFonts w:asciiTheme="minorHAnsi" w:eastAsia="Times New Roman" w:hAnsiTheme="minorHAnsi" w:cs="Arial"/>
                <w:b/>
                <w:lang w:val="en-GB"/>
              </w:rPr>
              <w:t>Mar-16</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244061" w:themeFill="accent1" w:themeFillShade="80"/>
            <w:vAlign w:val="bottom"/>
            <w:hideMark/>
          </w:tcPr>
          <w:p w14:paraId="180484BD" w14:textId="77777777" w:rsidR="00BD6D9B" w:rsidRPr="002160E3" w:rsidRDefault="00BD6D9B" w:rsidP="000A64FF">
            <w:pPr>
              <w:spacing w:after="0" w:line="240" w:lineRule="auto"/>
              <w:jc w:val="center"/>
              <w:rPr>
                <w:rFonts w:asciiTheme="minorHAnsi" w:eastAsia="Times New Roman" w:hAnsiTheme="minorHAnsi" w:cs="Arial"/>
                <w:b/>
                <w:lang w:val="en-GB"/>
              </w:rPr>
            </w:pPr>
            <w:r w:rsidRPr="002160E3">
              <w:rPr>
                <w:rFonts w:asciiTheme="minorHAnsi" w:eastAsia="Times New Roman" w:hAnsiTheme="minorHAnsi" w:cs="Arial"/>
                <w:b/>
                <w:lang w:val="en-GB"/>
              </w:rPr>
              <w:t>YOY Change</w:t>
            </w:r>
          </w:p>
        </w:tc>
        <w:tc>
          <w:tcPr>
            <w:tcW w:w="1733" w:type="dxa"/>
            <w:vMerge w:val="restart"/>
            <w:tcBorders>
              <w:top w:val="single" w:sz="4" w:space="0" w:color="auto"/>
              <w:left w:val="single" w:sz="4" w:space="0" w:color="auto"/>
              <w:bottom w:val="single" w:sz="4" w:space="0" w:color="000000"/>
              <w:right w:val="single" w:sz="4" w:space="0" w:color="auto"/>
            </w:tcBorders>
            <w:shd w:val="clear" w:color="auto" w:fill="244061" w:themeFill="accent1" w:themeFillShade="80"/>
            <w:noWrap/>
            <w:vAlign w:val="bottom"/>
            <w:hideMark/>
          </w:tcPr>
          <w:p w14:paraId="00651005" w14:textId="77777777" w:rsidR="00BD6D9B" w:rsidRPr="002160E3" w:rsidRDefault="00BD6D9B" w:rsidP="004E68F3">
            <w:pPr>
              <w:spacing w:after="0" w:line="240" w:lineRule="auto"/>
              <w:jc w:val="center"/>
              <w:rPr>
                <w:rFonts w:asciiTheme="minorHAnsi" w:eastAsia="Times New Roman" w:hAnsiTheme="minorHAnsi" w:cs="Arial"/>
                <w:b/>
                <w:lang w:val="en-GB"/>
              </w:rPr>
            </w:pPr>
            <w:r w:rsidRPr="002160E3">
              <w:rPr>
                <w:rFonts w:asciiTheme="minorHAnsi" w:eastAsia="Times New Roman" w:hAnsiTheme="minorHAnsi" w:cs="Arial"/>
                <w:b/>
                <w:lang w:val="en-GB"/>
              </w:rPr>
              <w:t>Q1'16 Change</w:t>
            </w:r>
          </w:p>
        </w:tc>
      </w:tr>
      <w:tr w:rsidR="00BD6D9B" w:rsidRPr="002160E3" w14:paraId="2A6CE771" w14:textId="77777777" w:rsidTr="005D7C32">
        <w:trPr>
          <w:trHeight w:val="247"/>
          <w:jc w:val="center"/>
        </w:trPr>
        <w:tc>
          <w:tcPr>
            <w:tcW w:w="2895" w:type="dxa"/>
            <w:tcBorders>
              <w:top w:val="nil"/>
              <w:left w:val="single" w:sz="4" w:space="0" w:color="auto"/>
              <w:bottom w:val="nil"/>
              <w:right w:val="single" w:sz="4" w:space="0" w:color="auto"/>
            </w:tcBorders>
            <w:shd w:val="clear" w:color="auto" w:fill="244061" w:themeFill="accent1" w:themeFillShade="80"/>
            <w:noWrap/>
            <w:hideMark/>
          </w:tcPr>
          <w:p w14:paraId="4936916E" w14:textId="77777777" w:rsidR="00BD6D9B" w:rsidRPr="002160E3" w:rsidRDefault="00BD6D9B" w:rsidP="00E72F6E">
            <w:pPr>
              <w:spacing w:after="0" w:line="240" w:lineRule="auto"/>
              <w:jc w:val="both"/>
              <w:rPr>
                <w:rFonts w:asciiTheme="minorHAnsi" w:eastAsia="Times New Roman" w:hAnsiTheme="minorHAnsi" w:cs="Arial"/>
                <w:b/>
                <w:lang w:val="en-GB"/>
              </w:rPr>
            </w:pPr>
            <w:r w:rsidRPr="002160E3">
              <w:rPr>
                <w:rFonts w:asciiTheme="minorHAnsi" w:eastAsia="Times New Roman" w:hAnsiTheme="minorHAnsi" w:cs="Arial"/>
                <w:b/>
                <w:lang w:val="en-GB"/>
              </w:rPr>
              <w:t>Description</w:t>
            </w: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4D75FFE1" w14:textId="77777777" w:rsidR="00BD6D9B" w:rsidRPr="002160E3" w:rsidRDefault="00BD6D9B" w:rsidP="00E72F6E">
            <w:pPr>
              <w:spacing w:after="0" w:line="240" w:lineRule="auto"/>
              <w:jc w:val="center"/>
              <w:rPr>
                <w:rFonts w:asciiTheme="minorHAnsi" w:eastAsia="Times New Roman" w:hAnsiTheme="minorHAnsi" w:cs="Arial"/>
                <w:bCs/>
                <w:lang w:val="en-GB"/>
              </w:rPr>
            </w:pPr>
          </w:p>
        </w:tc>
        <w:tc>
          <w:tcPr>
            <w:tcW w:w="1191" w:type="dxa"/>
            <w:vMerge/>
            <w:tcBorders>
              <w:top w:val="single" w:sz="4" w:space="0" w:color="auto"/>
              <w:left w:val="single" w:sz="4" w:space="0" w:color="auto"/>
              <w:bottom w:val="single" w:sz="4" w:space="0" w:color="000000"/>
              <w:right w:val="single" w:sz="4" w:space="0" w:color="auto"/>
            </w:tcBorders>
            <w:vAlign w:val="center"/>
          </w:tcPr>
          <w:p w14:paraId="42E62930" w14:textId="77777777" w:rsidR="00BD6D9B" w:rsidRPr="002160E3" w:rsidRDefault="00BD6D9B" w:rsidP="00E72F6E">
            <w:pPr>
              <w:spacing w:after="0" w:line="240" w:lineRule="auto"/>
              <w:jc w:val="center"/>
              <w:rPr>
                <w:rFonts w:asciiTheme="minorHAnsi" w:eastAsia="Times New Roman" w:hAnsiTheme="minorHAnsi" w:cs="Arial"/>
                <w:bCs/>
                <w:lang w:val="en-GB"/>
              </w:rPr>
            </w:pPr>
          </w:p>
        </w:tc>
        <w:tc>
          <w:tcPr>
            <w:tcW w:w="1444" w:type="dxa"/>
            <w:vMerge/>
            <w:tcBorders>
              <w:top w:val="single" w:sz="4" w:space="0" w:color="auto"/>
              <w:left w:val="single" w:sz="4" w:space="0" w:color="auto"/>
              <w:bottom w:val="single" w:sz="4" w:space="0" w:color="000000"/>
              <w:right w:val="single" w:sz="4" w:space="0" w:color="auto"/>
            </w:tcBorders>
            <w:vAlign w:val="center"/>
          </w:tcPr>
          <w:p w14:paraId="12C6F719" w14:textId="77777777" w:rsidR="00BD6D9B" w:rsidRPr="002160E3" w:rsidRDefault="00BD6D9B" w:rsidP="00E72F6E">
            <w:pPr>
              <w:spacing w:after="0" w:line="240" w:lineRule="auto"/>
              <w:jc w:val="center"/>
              <w:rPr>
                <w:rFonts w:asciiTheme="minorHAnsi" w:eastAsia="Times New Roman" w:hAnsiTheme="minorHAnsi" w:cs="Arial"/>
                <w:bCs/>
                <w:lang w:val="en-GB"/>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760239B1" w14:textId="77777777" w:rsidR="00BD6D9B" w:rsidRPr="002160E3" w:rsidRDefault="00BD6D9B" w:rsidP="00E72F6E">
            <w:pPr>
              <w:spacing w:after="0" w:line="240" w:lineRule="auto"/>
              <w:jc w:val="both"/>
              <w:rPr>
                <w:rFonts w:asciiTheme="minorHAnsi" w:eastAsia="Times New Roman" w:hAnsiTheme="minorHAnsi" w:cs="Arial"/>
                <w:bCs/>
                <w:lang w:val="en-GB"/>
              </w:rPr>
            </w:pPr>
          </w:p>
        </w:tc>
        <w:tc>
          <w:tcPr>
            <w:tcW w:w="1733" w:type="dxa"/>
            <w:vMerge/>
            <w:tcBorders>
              <w:top w:val="single" w:sz="4" w:space="0" w:color="auto"/>
              <w:left w:val="single" w:sz="4" w:space="0" w:color="auto"/>
              <w:bottom w:val="single" w:sz="4" w:space="0" w:color="000000"/>
              <w:right w:val="single" w:sz="4" w:space="0" w:color="auto"/>
            </w:tcBorders>
            <w:vAlign w:val="center"/>
            <w:hideMark/>
          </w:tcPr>
          <w:p w14:paraId="4E6C43AB" w14:textId="77777777" w:rsidR="00BD6D9B" w:rsidRPr="002160E3" w:rsidRDefault="00BD6D9B" w:rsidP="00E72F6E">
            <w:pPr>
              <w:spacing w:after="0" w:line="240" w:lineRule="auto"/>
              <w:jc w:val="both"/>
              <w:rPr>
                <w:rFonts w:asciiTheme="minorHAnsi" w:eastAsia="Times New Roman" w:hAnsiTheme="minorHAnsi" w:cs="Arial"/>
                <w:bCs/>
                <w:lang w:val="en-GB"/>
              </w:rPr>
            </w:pPr>
          </w:p>
        </w:tc>
      </w:tr>
      <w:tr w:rsidR="00BD6D9B" w:rsidRPr="002160E3" w14:paraId="40B7E084" w14:textId="77777777" w:rsidTr="005D7C32">
        <w:trPr>
          <w:trHeight w:val="255"/>
          <w:jc w:val="center"/>
        </w:trPr>
        <w:tc>
          <w:tcPr>
            <w:tcW w:w="289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EF7983E" w14:textId="77777777" w:rsidR="00BD6D9B" w:rsidRPr="002160E3" w:rsidRDefault="00BD6D9B" w:rsidP="00E72F6E">
            <w:pPr>
              <w:spacing w:after="0" w:line="240" w:lineRule="auto"/>
              <w:rPr>
                <w:rFonts w:asciiTheme="minorHAnsi" w:eastAsia="Times New Roman" w:hAnsiTheme="minorHAnsi" w:cs="Arial"/>
                <w:lang w:val="en-GB"/>
              </w:rPr>
            </w:pPr>
            <w:r w:rsidRPr="002160E3">
              <w:rPr>
                <w:rFonts w:asciiTheme="minorHAnsi" w:eastAsia="Times New Roman" w:hAnsiTheme="minorHAnsi" w:cs="Arial"/>
                <w:lang w:val="en-GB"/>
              </w:rPr>
              <w:t>Banking and Investments</w:t>
            </w:r>
          </w:p>
        </w:tc>
        <w:tc>
          <w:tcPr>
            <w:tcW w:w="1113" w:type="dxa"/>
            <w:tcBorders>
              <w:top w:val="nil"/>
              <w:left w:val="nil"/>
              <w:bottom w:val="single" w:sz="4" w:space="0" w:color="auto"/>
              <w:right w:val="single" w:sz="4" w:space="0" w:color="auto"/>
            </w:tcBorders>
            <w:shd w:val="clear" w:color="auto" w:fill="DBE5F1" w:themeFill="accent1" w:themeFillTint="33"/>
            <w:noWrap/>
            <w:vAlign w:val="bottom"/>
            <w:hideMark/>
          </w:tcPr>
          <w:p w14:paraId="6B985338" w14:textId="77777777" w:rsidR="00BD6D9B" w:rsidRPr="002160E3" w:rsidRDefault="00BD6D9B" w:rsidP="00812A3F">
            <w:pPr>
              <w:spacing w:after="0" w:line="240" w:lineRule="auto"/>
              <w:jc w:val="center"/>
              <w:rPr>
                <w:rFonts w:asciiTheme="minorHAnsi" w:eastAsia="Times New Roman" w:hAnsiTheme="minorHAnsi" w:cs="Arial"/>
                <w:lang w:val="en-GB"/>
              </w:rPr>
            </w:pPr>
            <w:r w:rsidRPr="002160E3">
              <w:rPr>
                <w:rFonts w:asciiTheme="minorHAnsi" w:eastAsia="Times New Roman" w:hAnsiTheme="minorHAnsi" w:cs="Arial"/>
                <w:lang w:val="en-GB"/>
              </w:rPr>
              <w:t>4.16</w:t>
            </w:r>
          </w:p>
        </w:tc>
        <w:tc>
          <w:tcPr>
            <w:tcW w:w="1191" w:type="dxa"/>
            <w:tcBorders>
              <w:top w:val="nil"/>
              <w:left w:val="nil"/>
              <w:bottom w:val="single" w:sz="4" w:space="0" w:color="auto"/>
              <w:right w:val="single" w:sz="4" w:space="0" w:color="auto"/>
            </w:tcBorders>
            <w:shd w:val="clear" w:color="auto" w:fill="DBE5F1" w:themeFill="accent1" w:themeFillTint="33"/>
            <w:noWrap/>
            <w:vAlign w:val="bottom"/>
          </w:tcPr>
          <w:p w14:paraId="4DBD7D3C" w14:textId="77777777" w:rsidR="00BD6D9B" w:rsidRPr="002160E3" w:rsidRDefault="00BD6D9B" w:rsidP="00812A3F">
            <w:pPr>
              <w:spacing w:after="0" w:line="240" w:lineRule="auto"/>
              <w:jc w:val="center"/>
              <w:rPr>
                <w:rFonts w:asciiTheme="minorHAnsi" w:eastAsia="Times New Roman" w:hAnsiTheme="minorHAnsi" w:cs="Arial"/>
                <w:lang w:val="en-GB"/>
              </w:rPr>
            </w:pPr>
            <w:r w:rsidRPr="002160E3">
              <w:rPr>
                <w:rFonts w:asciiTheme="minorHAnsi" w:eastAsia="Times New Roman" w:hAnsiTheme="minorHAnsi" w:cs="Arial"/>
                <w:lang w:val="en-GB"/>
              </w:rPr>
              <w:t>3.92</w:t>
            </w:r>
          </w:p>
        </w:tc>
        <w:tc>
          <w:tcPr>
            <w:tcW w:w="1444" w:type="dxa"/>
            <w:tcBorders>
              <w:top w:val="nil"/>
              <w:left w:val="nil"/>
              <w:bottom w:val="single" w:sz="4" w:space="0" w:color="auto"/>
              <w:right w:val="single" w:sz="4" w:space="0" w:color="auto"/>
            </w:tcBorders>
            <w:shd w:val="clear" w:color="auto" w:fill="DBE5F1" w:themeFill="accent1" w:themeFillTint="33"/>
            <w:vAlign w:val="bottom"/>
          </w:tcPr>
          <w:p w14:paraId="797A443B" w14:textId="77777777" w:rsidR="00BD6D9B" w:rsidRPr="002160E3" w:rsidRDefault="009B77E5" w:rsidP="009B77E5">
            <w:pPr>
              <w:spacing w:after="0" w:line="240" w:lineRule="auto"/>
              <w:jc w:val="center"/>
              <w:rPr>
                <w:rFonts w:asciiTheme="minorHAnsi" w:eastAsia="Times New Roman" w:hAnsiTheme="minorHAnsi" w:cs="Arial"/>
                <w:lang w:val="en-GB"/>
              </w:rPr>
            </w:pPr>
            <w:r w:rsidRPr="002160E3">
              <w:rPr>
                <w:rFonts w:asciiTheme="minorHAnsi" w:eastAsia="Times New Roman" w:hAnsiTheme="minorHAnsi" w:cs="Arial"/>
                <w:lang w:val="en-GB"/>
              </w:rPr>
              <w:t>3.48</w:t>
            </w:r>
          </w:p>
        </w:tc>
        <w:tc>
          <w:tcPr>
            <w:tcW w:w="1121" w:type="dxa"/>
            <w:tcBorders>
              <w:top w:val="nil"/>
              <w:left w:val="nil"/>
              <w:bottom w:val="single" w:sz="4" w:space="0" w:color="auto"/>
              <w:right w:val="single" w:sz="4" w:space="0" w:color="auto"/>
            </w:tcBorders>
            <w:shd w:val="clear" w:color="auto" w:fill="DBE5F1" w:themeFill="accent1" w:themeFillTint="33"/>
            <w:noWrap/>
            <w:vAlign w:val="bottom"/>
          </w:tcPr>
          <w:p w14:paraId="629878AD" w14:textId="77777777" w:rsidR="00BD6D9B" w:rsidRPr="002160E3" w:rsidRDefault="009B77E5" w:rsidP="00B221F8">
            <w:pPr>
              <w:spacing w:after="0" w:line="240" w:lineRule="auto"/>
              <w:jc w:val="right"/>
              <w:rPr>
                <w:rFonts w:asciiTheme="minorHAnsi" w:eastAsia="Times New Roman" w:hAnsiTheme="minorHAnsi" w:cs="Arial"/>
                <w:lang w:val="en-GB"/>
              </w:rPr>
            </w:pPr>
            <w:r w:rsidRPr="002160E3">
              <w:rPr>
                <w:rFonts w:asciiTheme="minorHAnsi" w:eastAsia="Times New Roman" w:hAnsiTheme="minorHAnsi" w:cs="Arial"/>
                <w:lang w:val="en-GB"/>
              </w:rPr>
              <w:t>-11.2%</w:t>
            </w:r>
          </w:p>
        </w:tc>
        <w:tc>
          <w:tcPr>
            <w:tcW w:w="1733" w:type="dxa"/>
            <w:tcBorders>
              <w:top w:val="nil"/>
              <w:left w:val="nil"/>
              <w:bottom w:val="single" w:sz="4" w:space="0" w:color="auto"/>
              <w:right w:val="single" w:sz="4" w:space="0" w:color="auto"/>
            </w:tcBorders>
            <w:shd w:val="clear" w:color="auto" w:fill="DBE5F1" w:themeFill="accent1" w:themeFillTint="33"/>
            <w:noWrap/>
            <w:vAlign w:val="bottom"/>
          </w:tcPr>
          <w:p w14:paraId="0E5A7E9C" w14:textId="77777777" w:rsidR="00BD6D9B" w:rsidRPr="002160E3" w:rsidRDefault="009B77E5" w:rsidP="00464A5D">
            <w:pPr>
              <w:spacing w:after="0" w:line="240" w:lineRule="auto"/>
              <w:jc w:val="right"/>
              <w:rPr>
                <w:rFonts w:asciiTheme="minorHAnsi" w:eastAsia="Times New Roman" w:hAnsiTheme="minorHAnsi" w:cs="Arial"/>
                <w:lang w:val="en-GB"/>
              </w:rPr>
            </w:pPr>
            <w:r w:rsidRPr="002160E3">
              <w:rPr>
                <w:rFonts w:asciiTheme="minorHAnsi" w:eastAsia="Times New Roman" w:hAnsiTheme="minorHAnsi" w:cs="Arial"/>
                <w:lang w:val="en-GB"/>
              </w:rPr>
              <w:t>0.</w:t>
            </w:r>
            <w:r w:rsidR="00464A5D">
              <w:rPr>
                <w:rFonts w:asciiTheme="minorHAnsi" w:eastAsia="Times New Roman" w:hAnsiTheme="minorHAnsi" w:cs="Arial"/>
                <w:lang w:val="en-GB"/>
              </w:rPr>
              <w:t>3</w:t>
            </w:r>
            <w:r w:rsidRPr="002160E3">
              <w:rPr>
                <w:rFonts w:asciiTheme="minorHAnsi" w:eastAsia="Times New Roman" w:hAnsiTheme="minorHAnsi" w:cs="Arial"/>
                <w:lang w:val="en-GB"/>
              </w:rPr>
              <w:t>%</w:t>
            </w:r>
          </w:p>
        </w:tc>
      </w:tr>
      <w:tr w:rsidR="00BD6D9B" w:rsidRPr="002160E3" w14:paraId="7DD78730" w14:textId="77777777" w:rsidTr="005D7C32">
        <w:trPr>
          <w:trHeight w:val="255"/>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92D0A7B" w14:textId="77777777" w:rsidR="00BD6D9B" w:rsidRPr="002160E3" w:rsidRDefault="00BD6D9B" w:rsidP="00E72F6E">
            <w:pPr>
              <w:spacing w:after="0" w:line="240" w:lineRule="auto"/>
              <w:rPr>
                <w:rFonts w:asciiTheme="minorHAnsi" w:eastAsia="Times New Roman" w:hAnsiTheme="minorHAnsi" w:cs="Arial"/>
                <w:lang w:val="en-GB"/>
              </w:rPr>
            </w:pPr>
            <w:r w:rsidRPr="002160E3">
              <w:rPr>
                <w:rFonts w:asciiTheme="minorHAnsi" w:eastAsia="Times New Roman" w:hAnsiTheme="minorHAnsi" w:cs="Arial"/>
                <w:lang w:val="en-GB"/>
              </w:rPr>
              <w:t>Services</w:t>
            </w:r>
          </w:p>
        </w:tc>
        <w:tc>
          <w:tcPr>
            <w:tcW w:w="1113" w:type="dxa"/>
            <w:tcBorders>
              <w:top w:val="nil"/>
              <w:left w:val="nil"/>
              <w:bottom w:val="single" w:sz="4" w:space="0" w:color="auto"/>
              <w:right w:val="single" w:sz="4" w:space="0" w:color="auto"/>
            </w:tcBorders>
            <w:shd w:val="clear" w:color="auto" w:fill="DBE5F1" w:themeFill="accent1" w:themeFillTint="33"/>
            <w:noWrap/>
            <w:vAlign w:val="bottom"/>
            <w:hideMark/>
          </w:tcPr>
          <w:p w14:paraId="7FF80B6A" w14:textId="77777777" w:rsidR="00BD6D9B" w:rsidRPr="002160E3" w:rsidRDefault="00BD6D9B" w:rsidP="00812A3F">
            <w:pPr>
              <w:spacing w:after="0" w:line="240" w:lineRule="auto"/>
              <w:jc w:val="center"/>
              <w:rPr>
                <w:rFonts w:asciiTheme="minorHAnsi" w:eastAsia="Times New Roman" w:hAnsiTheme="minorHAnsi" w:cs="Arial"/>
                <w:lang w:val="en-GB"/>
              </w:rPr>
            </w:pPr>
            <w:r w:rsidRPr="002160E3">
              <w:rPr>
                <w:rFonts w:asciiTheme="minorHAnsi" w:eastAsia="Times New Roman" w:hAnsiTheme="minorHAnsi" w:cs="Arial"/>
                <w:lang w:val="en-GB"/>
              </w:rPr>
              <w:t>3.32</w:t>
            </w:r>
          </w:p>
        </w:tc>
        <w:tc>
          <w:tcPr>
            <w:tcW w:w="1191" w:type="dxa"/>
            <w:tcBorders>
              <w:top w:val="nil"/>
              <w:left w:val="nil"/>
              <w:bottom w:val="single" w:sz="4" w:space="0" w:color="auto"/>
              <w:right w:val="single" w:sz="4" w:space="0" w:color="auto"/>
            </w:tcBorders>
            <w:shd w:val="clear" w:color="auto" w:fill="DBE5F1" w:themeFill="accent1" w:themeFillTint="33"/>
            <w:noWrap/>
            <w:vAlign w:val="bottom"/>
          </w:tcPr>
          <w:p w14:paraId="69DACF93" w14:textId="77777777" w:rsidR="00BD6D9B" w:rsidRPr="002160E3" w:rsidRDefault="00BD6D9B" w:rsidP="00812A3F">
            <w:pPr>
              <w:spacing w:after="0" w:line="240" w:lineRule="auto"/>
              <w:jc w:val="center"/>
              <w:rPr>
                <w:rFonts w:asciiTheme="minorHAnsi" w:eastAsia="Times New Roman" w:hAnsiTheme="minorHAnsi" w:cs="Arial"/>
                <w:lang w:val="en-GB"/>
              </w:rPr>
            </w:pPr>
            <w:r w:rsidRPr="002160E3">
              <w:rPr>
                <w:rFonts w:asciiTheme="minorHAnsi" w:eastAsia="Times New Roman" w:hAnsiTheme="minorHAnsi" w:cs="Arial"/>
                <w:lang w:val="en-GB"/>
              </w:rPr>
              <w:t>3.64</w:t>
            </w:r>
          </w:p>
        </w:tc>
        <w:tc>
          <w:tcPr>
            <w:tcW w:w="1444" w:type="dxa"/>
            <w:tcBorders>
              <w:top w:val="nil"/>
              <w:left w:val="nil"/>
              <w:bottom w:val="single" w:sz="4" w:space="0" w:color="auto"/>
              <w:right w:val="single" w:sz="4" w:space="0" w:color="auto"/>
            </w:tcBorders>
            <w:shd w:val="clear" w:color="auto" w:fill="DBE5F1" w:themeFill="accent1" w:themeFillTint="33"/>
            <w:noWrap/>
            <w:vAlign w:val="bottom"/>
          </w:tcPr>
          <w:p w14:paraId="0A5A342A" w14:textId="77777777" w:rsidR="00BD6D9B" w:rsidRPr="002160E3" w:rsidRDefault="009B77E5" w:rsidP="00F70185">
            <w:pPr>
              <w:spacing w:after="0" w:line="240" w:lineRule="auto"/>
              <w:jc w:val="center"/>
              <w:rPr>
                <w:rFonts w:asciiTheme="minorHAnsi" w:eastAsia="Times New Roman" w:hAnsiTheme="minorHAnsi" w:cs="Arial"/>
                <w:lang w:val="en-GB"/>
              </w:rPr>
            </w:pPr>
            <w:r w:rsidRPr="002160E3">
              <w:rPr>
                <w:rFonts w:asciiTheme="minorHAnsi" w:eastAsia="Times New Roman" w:hAnsiTheme="minorHAnsi" w:cs="Arial"/>
                <w:lang w:val="en-GB"/>
              </w:rPr>
              <w:t>3.68</w:t>
            </w:r>
          </w:p>
        </w:tc>
        <w:tc>
          <w:tcPr>
            <w:tcW w:w="1121" w:type="dxa"/>
            <w:tcBorders>
              <w:top w:val="nil"/>
              <w:left w:val="nil"/>
              <w:bottom w:val="single" w:sz="4" w:space="0" w:color="auto"/>
              <w:right w:val="single" w:sz="4" w:space="0" w:color="auto"/>
            </w:tcBorders>
            <w:shd w:val="clear" w:color="auto" w:fill="DBE5F1" w:themeFill="accent1" w:themeFillTint="33"/>
            <w:noWrap/>
            <w:vAlign w:val="bottom"/>
          </w:tcPr>
          <w:p w14:paraId="418FE91A" w14:textId="77777777" w:rsidR="00BD6D9B" w:rsidRPr="002160E3" w:rsidRDefault="009B77E5" w:rsidP="00B221F8">
            <w:pPr>
              <w:spacing w:after="0" w:line="240" w:lineRule="auto"/>
              <w:jc w:val="right"/>
              <w:rPr>
                <w:rFonts w:asciiTheme="minorHAnsi" w:eastAsia="Times New Roman" w:hAnsiTheme="minorHAnsi" w:cs="Arial"/>
                <w:lang w:val="en-GB"/>
              </w:rPr>
            </w:pPr>
            <w:r w:rsidRPr="002160E3">
              <w:rPr>
                <w:rFonts w:asciiTheme="minorHAnsi" w:eastAsia="Times New Roman" w:hAnsiTheme="minorHAnsi" w:cs="Arial"/>
                <w:lang w:val="en-GB"/>
              </w:rPr>
              <w:t>1.1%</w:t>
            </w:r>
          </w:p>
        </w:tc>
        <w:tc>
          <w:tcPr>
            <w:tcW w:w="1733" w:type="dxa"/>
            <w:tcBorders>
              <w:top w:val="nil"/>
              <w:left w:val="nil"/>
              <w:bottom w:val="single" w:sz="4" w:space="0" w:color="auto"/>
              <w:right w:val="single" w:sz="4" w:space="0" w:color="auto"/>
            </w:tcBorders>
            <w:shd w:val="clear" w:color="auto" w:fill="DBE5F1" w:themeFill="accent1" w:themeFillTint="33"/>
            <w:noWrap/>
            <w:vAlign w:val="bottom"/>
          </w:tcPr>
          <w:p w14:paraId="48EE6CFA" w14:textId="77777777" w:rsidR="00BD6D9B" w:rsidRPr="002160E3" w:rsidRDefault="009B77E5" w:rsidP="00B221F8">
            <w:pPr>
              <w:spacing w:after="0" w:line="240" w:lineRule="auto"/>
              <w:jc w:val="right"/>
              <w:rPr>
                <w:rFonts w:asciiTheme="minorHAnsi" w:eastAsia="Times New Roman" w:hAnsiTheme="minorHAnsi" w:cs="Arial"/>
                <w:lang w:val="en-GB"/>
              </w:rPr>
            </w:pPr>
            <w:r w:rsidRPr="002160E3">
              <w:rPr>
                <w:rFonts w:asciiTheme="minorHAnsi" w:eastAsia="Times New Roman" w:hAnsiTheme="minorHAnsi" w:cs="Arial"/>
                <w:lang w:val="en-GB"/>
              </w:rPr>
              <w:t>-0.2%</w:t>
            </w:r>
          </w:p>
        </w:tc>
      </w:tr>
      <w:tr w:rsidR="00BD6D9B" w:rsidRPr="002160E3" w14:paraId="7774D1C9" w14:textId="77777777" w:rsidTr="005D7C32">
        <w:trPr>
          <w:trHeight w:val="255"/>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06A2A82" w14:textId="77777777" w:rsidR="00BD6D9B" w:rsidRPr="002160E3" w:rsidRDefault="00BD6D9B" w:rsidP="00E72F6E">
            <w:pPr>
              <w:spacing w:after="0" w:line="240" w:lineRule="auto"/>
              <w:rPr>
                <w:rFonts w:asciiTheme="minorHAnsi" w:eastAsia="Times New Roman" w:hAnsiTheme="minorHAnsi" w:cs="Arial"/>
                <w:lang w:val="en-GB"/>
              </w:rPr>
            </w:pPr>
            <w:r w:rsidRPr="002160E3">
              <w:rPr>
                <w:rFonts w:asciiTheme="minorHAnsi" w:eastAsia="Times New Roman" w:hAnsiTheme="minorHAnsi" w:cs="Arial"/>
                <w:lang w:val="en-GB"/>
              </w:rPr>
              <w:t>Industry</w:t>
            </w:r>
          </w:p>
        </w:tc>
        <w:tc>
          <w:tcPr>
            <w:tcW w:w="1113" w:type="dxa"/>
            <w:tcBorders>
              <w:top w:val="nil"/>
              <w:left w:val="nil"/>
              <w:bottom w:val="single" w:sz="4" w:space="0" w:color="auto"/>
              <w:right w:val="single" w:sz="4" w:space="0" w:color="auto"/>
            </w:tcBorders>
            <w:shd w:val="clear" w:color="auto" w:fill="DBE5F1" w:themeFill="accent1" w:themeFillTint="33"/>
            <w:noWrap/>
            <w:vAlign w:val="bottom"/>
            <w:hideMark/>
          </w:tcPr>
          <w:p w14:paraId="13ED90A0" w14:textId="77777777" w:rsidR="00BD6D9B" w:rsidRPr="002160E3" w:rsidRDefault="00BD6D9B" w:rsidP="00812A3F">
            <w:pPr>
              <w:spacing w:after="0" w:line="240" w:lineRule="auto"/>
              <w:jc w:val="center"/>
              <w:rPr>
                <w:rFonts w:asciiTheme="minorHAnsi" w:eastAsia="Times New Roman" w:hAnsiTheme="minorHAnsi" w:cs="Arial"/>
                <w:lang w:val="en-GB"/>
              </w:rPr>
            </w:pPr>
            <w:r w:rsidRPr="002160E3">
              <w:rPr>
                <w:rFonts w:asciiTheme="minorHAnsi" w:eastAsia="Times New Roman" w:hAnsiTheme="minorHAnsi" w:cs="Arial"/>
                <w:lang w:val="en-GB"/>
              </w:rPr>
              <w:t>1.98</w:t>
            </w:r>
          </w:p>
        </w:tc>
        <w:tc>
          <w:tcPr>
            <w:tcW w:w="1191" w:type="dxa"/>
            <w:tcBorders>
              <w:top w:val="nil"/>
              <w:left w:val="nil"/>
              <w:bottom w:val="single" w:sz="4" w:space="0" w:color="auto"/>
              <w:right w:val="single" w:sz="4" w:space="0" w:color="auto"/>
            </w:tcBorders>
            <w:shd w:val="clear" w:color="auto" w:fill="DBE5F1" w:themeFill="accent1" w:themeFillTint="33"/>
            <w:noWrap/>
            <w:vAlign w:val="bottom"/>
          </w:tcPr>
          <w:p w14:paraId="1BD203F9" w14:textId="77777777" w:rsidR="00BD6D9B" w:rsidRPr="002160E3" w:rsidRDefault="00BD6D9B" w:rsidP="00812A3F">
            <w:pPr>
              <w:spacing w:after="0" w:line="240" w:lineRule="auto"/>
              <w:jc w:val="center"/>
              <w:rPr>
                <w:rFonts w:asciiTheme="minorHAnsi" w:eastAsia="Times New Roman" w:hAnsiTheme="minorHAnsi" w:cs="Arial"/>
                <w:lang w:val="en-GB"/>
              </w:rPr>
            </w:pPr>
            <w:r w:rsidRPr="002160E3">
              <w:rPr>
                <w:rFonts w:asciiTheme="minorHAnsi" w:eastAsia="Times New Roman" w:hAnsiTheme="minorHAnsi" w:cs="Arial"/>
                <w:lang w:val="en-GB"/>
              </w:rPr>
              <w:t>1.61</w:t>
            </w:r>
          </w:p>
        </w:tc>
        <w:tc>
          <w:tcPr>
            <w:tcW w:w="1444" w:type="dxa"/>
            <w:tcBorders>
              <w:top w:val="nil"/>
              <w:left w:val="nil"/>
              <w:bottom w:val="single" w:sz="4" w:space="0" w:color="auto"/>
              <w:right w:val="single" w:sz="4" w:space="0" w:color="auto"/>
            </w:tcBorders>
            <w:shd w:val="clear" w:color="auto" w:fill="DBE5F1" w:themeFill="accent1" w:themeFillTint="33"/>
            <w:noWrap/>
            <w:vAlign w:val="bottom"/>
          </w:tcPr>
          <w:p w14:paraId="62EF239F" w14:textId="77777777" w:rsidR="00BD6D9B" w:rsidRPr="002160E3" w:rsidRDefault="009B77E5" w:rsidP="00F70185">
            <w:pPr>
              <w:spacing w:after="0" w:line="240" w:lineRule="auto"/>
              <w:jc w:val="center"/>
              <w:rPr>
                <w:rFonts w:asciiTheme="minorHAnsi" w:eastAsia="Times New Roman" w:hAnsiTheme="minorHAnsi" w:cs="Arial"/>
                <w:lang w:val="en-GB"/>
              </w:rPr>
            </w:pPr>
            <w:r w:rsidRPr="002160E3">
              <w:rPr>
                <w:rFonts w:asciiTheme="minorHAnsi" w:eastAsia="Times New Roman" w:hAnsiTheme="minorHAnsi" w:cs="Arial"/>
                <w:lang w:val="en-GB"/>
              </w:rPr>
              <w:t>1.35</w:t>
            </w:r>
          </w:p>
        </w:tc>
        <w:tc>
          <w:tcPr>
            <w:tcW w:w="1121" w:type="dxa"/>
            <w:tcBorders>
              <w:top w:val="nil"/>
              <w:left w:val="nil"/>
              <w:bottom w:val="single" w:sz="4" w:space="0" w:color="auto"/>
              <w:right w:val="single" w:sz="4" w:space="0" w:color="auto"/>
            </w:tcBorders>
            <w:shd w:val="clear" w:color="auto" w:fill="DBE5F1" w:themeFill="accent1" w:themeFillTint="33"/>
            <w:noWrap/>
            <w:vAlign w:val="bottom"/>
          </w:tcPr>
          <w:p w14:paraId="0B36857F" w14:textId="77777777" w:rsidR="00BD6D9B" w:rsidRPr="002160E3" w:rsidRDefault="009B77E5" w:rsidP="00B221F8">
            <w:pPr>
              <w:spacing w:after="0" w:line="240" w:lineRule="auto"/>
              <w:jc w:val="right"/>
              <w:rPr>
                <w:rFonts w:asciiTheme="minorHAnsi" w:eastAsia="Times New Roman" w:hAnsiTheme="minorHAnsi" w:cs="Arial"/>
                <w:lang w:val="en-GB"/>
              </w:rPr>
            </w:pPr>
            <w:r w:rsidRPr="002160E3">
              <w:rPr>
                <w:rFonts w:asciiTheme="minorHAnsi" w:eastAsia="Times New Roman" w:hAnsiTheme="minorHAnsi" w:cs="Arial"/>
                <w:lang w:val="en-GB"/>
              </w:rPr>
              <w:t>-16.1%</w:t>
            </w:r>
          </w:p>
        </w:tc>
        <w:tc>
          <w:tcPr>
            <w:tcW w:w="1733" w:type="dxa"/>
            <w:tcBorders>
              <w:top w:val="nil"/>
              <w:left w:val="nil"/>
              <w:bottom w:val="single" w:sz="4" w:space="0" w:color="auto"/>
              <w:right w:val="single" w:sz="4" w:space="0" w:color="auto"/>
            </w:tcBorders>
            <w:shd w:val="clear" w:color="auto" w:fill="DBE5F1" w:themeFill="accent1" w:themeFillTint="33"/>
            <w:noWrap/>
            <w:vAlign w:val="bottom"/>
          </w:tcPr>
          <w:p w14:paraId="45AC20D8" w14:textId="77777777" w:rsidR="00BD6D9B" w:rsidRPr="002160E3" w:rsidRDefault="009B77E5" w:rsidP="00B221F8">
            <w:pPr>
              <w:spacing w:after="0" w:line="240" w:lineRule="auto"/>
              <w:jc w:val="right"/>
              <w:rPr>
                <w:rFonts w:asciiTheme="minorHAnsi" w:eastAsia="Times New Roman" w:hAnsiTheme="minorHAnsi" w:cs="Arial"/>
                <w:lang w:val="en-GB"/>
              </w:rPr>
            </w:pPr>
            <w:r w:rsidRPr="002160E3">
              <w:rPr>
                <w:rFonts w:asciiTheme="minorHAnsi" w:eastAsia="Times New Roman" w:hAnsiTheme="minorHAnsi" w:cs="Arial"/>
                <w:lang w:val="en-GB"/>
              </w:rPr>
              <w:t>-1.2%</w:t>
            </w:r>
          </w:p>
        </w:tc>
      </w:tr>
      <w:tr w:rsidR="00BD6D9B" w:rsidRPr="002160E3" w14:paraId="49D8CB7C" w14:textId="77777777" w:rsidTr="00682790">
        <w:trPr>
          <w:trHeight w:val="255"/>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57A10B9F" w14:textId="77777777" w:rsidR="00BD6D9B" w:rsidRPr="002160E3" w:rsidRDefault="00BD6D9B" w:rsidP="00E72F6E">
            <w:pPr>
              <w:spacing w:after="0" w:line="240" w:lineRule="auto"/>
              <w:rPr>
                <w:rFonts w:asciiTheme="minorHAnsi" w:eastAsia="Times New Roman" w:hAnsiTheme="minorHAnsi" w:cs="Arial"/>
                <w:b/>
                <w:bCs/>
                <w:lang w:val="en-GB"/>
              </w:rPr>
            </w:pPr>
            <w:r w:rsidRPr="002160E3">
              <w:rPr>
                <w:rFonts w:asciiTheme="minorHAnsi" w:eastAsia="Times New Roman" w:hAnsiTheme="minorHAnsi" w:cs="Arial"/>
                <w:b/>
                <w:bCs/>
                <w:lang w:val="en-GB"/>
              </w:rPr>
              <w:t>Total Market capitalization</w:t>
            </w:r>
          </w:p>
        </w:tc>
        <w:tc>
          <w:tcPr>
            <w:tcW w:w="1113" w:type="dxa"/>
            <w:tcBorders>
              <w:top w:val="nil"/>
              <w:left w:val="nil"/>
              <w:bottom w:val="single" w:sz="4" w:space="0" w:color="auto"/>
              <w:right w:val="single" w:sz="4" w:space="0" w:color="auto"/>
            </w:tcBorders>
            <w:shd w:val="clear" w:color="auto" w:fill="DBE5F1" w:themeFill="accent1" w:themeFillTint="33"/>
            <w:noWrap/>
            <w:vAlign w:val="bottom"/>
            <w:hideMark/>
          </w:tcPr>
          <w:p w14:paraId="5847B97D" w14:textId="77777777" w:rsidR="00BD6D9B" w:rsidRPr="002160E3" w:rsidRDefault="00BD6D9B" w:rsidP="00812A3F">
            <w:pPr>
              <w:spacing w:after="0" w:line="240" w:lineRule="auto"/>
              <w:jc w:val="center"/>
              <w:rPr>
                <w:rFonts w:asciiTheme="minorHAnsi" w:eastAsia="Times New Roman" w:hAnsiTheme="minorHAnsi" w:cs="Arial"/>
                <w:b/>
                <w:lang w:val="en-GB"/>
              </w:rPr>
            </w:pPr>
            <w:r w:rsidRPr="002160E3">
              <w:rPr>
                <w:rFonts w:asciiTheme="minorHAnsi" w:eastAsia="Times New Roman" w:hAnsiTheme="minorHAnsi" w:cs="Arial"/>
                <w:b/>
                <w:lang w:val="en-GB"/>
              </w:rPr>
              <w:t>9.46</w:t>
            </w:r>
          </w:p>
        </w:tc>
        <w:tc>
          <w:tcPr>
            <w:tcW w:w="1191" w:type="dxa"/>
            <w:tcBorders>
              <w:top w:val="nil"/>
              <w:left w:val="nil"/>
              <w:bottom w:val="single" w:sz="4" w:space="0" w:color="auto"/>
              <w:right w:val="single" w:sz="4" w:space="0" w:color="auto"/>
            </w:tcBorders>
            <w:shd w:val="clear" w:color="auto" w:fill="DBE5F1" w:themeFill="accent1" w:themeFillTint="33"/>
            <w:noWrap/>
            <w:vAlign w:val="bottom"/>
          </w:tcPr>
          <w:p w14:paraId="52A3CB5F" w14:textId="77777777" w:rsidR="00BD6D9B" w:rsidRPr="002160E3" w:rsidRDefault="00BD6D9B" w:rsidP="00812A3F">
            <w:pPr>
              <w:spacing w:after="0" w:line="240" w:lineRule="auto"/>
              <w:jc w:val="center"/>
              <w:rPr>
                <w:rFonts w:asciiTheme="minorHAnsi" w:eastAsia="Times New Roman" w:hAnsiTheme="minorHAnsi" w:cs="Arial"/>
                <w:b/>
                <w:lang w:val="en-GB"/>
              </w:rPr>
            </w:pPr>
            <w:r w:rsidRPr="002160E3">
              <w:rPr>
                <w:rFonts w:asciiTheme="minorHAnsi" w:eastAsia="Times New Roman" w:hAnsiTheme="minorHAnsi" w:cs="Arial"/>
                <w:b/>
                <w:lang w:val="en-GB"/>
              </w:rPr>
              <w:t>9.17</w:t>
            </w:r>
          </w:p>
        </w:tc>
        <w:tc>
          <w:tcPr>
            <w:tcW w:w="1444" w:type="dxa"/>
            <w:tcBorders>
              <w:top w:val="nil"/>
              <w:left w:val="nil"/>
              <w:bottom w:val="single" w:sz="4" w:space="0" w:color="auto"/>
              <w:right w:val="single" w:sz="4" w:space="0" w:color="auto"/>
            </w:tcBorders>
            <w:shd w:val="clear" w:color="auto" w:fill="DBE5F1" w:themeFill="accent1" w:themeFillTint="33"/>
            <w:noWrap/>
            <w:vAlign w:val="bottom"/>
          </w:tcPr>
          <w:p w14:paraId="70BDE8FB" w14:textId="77777777" w:rsidR="00BD6D9B" w:rsidRPr="002160E3" w:rsidRDefault="009B77E5" w:rsidP="00F70185">
            <w:pPr>
              <w:spacing w:after="0" w:line="240" w:lineRule="auto"/>
              <w:jc w:val="center"/>
              <w:rPr>
                <w:rFonts w:asciiTheme="minorHAnsi" w:eastAsia="Times New Roman" w:hAnsiTheme="minorHAnsi" w:cs="Arial"/>
                <w:b/>
                <w:lang w:val="en-GB"/>
              </w:rPr>
            </w:pPr>
            <w:r w:rsidRPr="002160E3">
              <w:rPr>
                <w:rFonts w:asciiTheme="minorHAnsi" w:eastAsia="Times New Roman" w:hAnsiTheme="minorHAnsi" w:cs="Arial"/>
                <w:b/>
                <w:lang w:val="en-GB"/>
              </w:rPr>
              <w:t>8.51</w:t>
            </w:r>
          </w:p>
        </w:tc>
        <w:tc>
          <w:tcPr>
            <w:tcW w:w="1121" w:type="dxa"/>
            <w:tcBorders>
              <w:top w:val="nil"/>
              <w:left w:val="nil"/>
              <w:bottom w:val="single" w:sz="4" w:space="0" w:color="auto"/>
              <w:right w:val="single" w:sz="4" w:space="0" w:color="auto"/>
            </w:tcBorders>
            <w:shd w:val="clear" w:color="auto" w:fill="DBE5F1" w:themeFill="accent1" w:themeFillTint="33"/>
            <w:noWrap/>
            <w:vAlign w:val="bottom"/>
          </w:tcPr>
          <w:p w14:paraId="409FCD7C" w14:textId="77777777" w:rsidR="00BD6D9B" w:rsidRPr="002160E3" w:rsidRDefault="009B77E5" w:rsidP="00B221F8">
            <w:pPr>
              <w:spacing w:after="0" w:line="240" w:lineRule="auto"/>
              <w:jc w:val="right"/>
              <w:rPr>
                <w:rFonts w:asciiTheme="minorHAnsi" w:eastAsia="Times New Roman" w:hAnsiTheme="minorHAnsi" w:cs="Arial"/>
                <w:b/>
                <w:lang w:val="en-GB"/>
              </w:rPr>
            </w:pPr>
            <w:r w:rsidRPr="002160E3">
              <w:rPr>
                <w:rFonts w:asciiTheme="minorHAnsi" w:eastAsia="Times New Roman" w:hAnsiTheme="minorHAnsi" w:cs="Arial"/>
                <w:b/>
                <w:lang w:val="en-GB"/>
              </w:rPr>
              <w:t>-7.2%</w:t>
            </w:r>
          </w:p>
        </w:tc>
        <w:tc>
          <w:tcPr>
            <w:tcW w:w="1733" w:type="dxa"/>
            <w:tcBorders>
              <w:top w:val="nil"/>
              <w:left w:val="nil"/>
              <w:bottom w:val="single" w:sz="4" w:space="0" w:color="auto"/>
              <w:right w:val="single" w:sz="4" w:space="0" w:color="auto"/>
            </w:tcBorders>
            <w:shd w:val="clear" w:color="auto" w:fill="DBE5F1" w:themeFill="accent1" w:themeFillTint="33"/>
            <w:noWrap/>
            <w:vAlign w:val="bottom"/>
          </w:tcPr>
          <w:p w14:paraId="4D9AE1E4" w14:textId="77777777" w:rsidR="00BD6D9B" w:rsidRPr="002160E3" w:rsidRDefault="009B77E5" w:rsidP="00B221F8">
            <w:pPr>
              <w:spacing w:after="0" w:line="240" w:lineRule="auto"/>
              <w:jc w:val="right"/>
              <w:rPr>
                <w:rFonts w:asciiTheme="minorHAnsi" w:eastAsia="Times New Roman" w:hAnsiTheme="minorHAnsi" w:cs="Arial"/>
                <w:b/>
                <w:lang w:val="en-GB"/>
              </w:rPr>
            </w:pPr>
            <w:r w:rsidRPr="002160E3">
              <w:rPr>
                <w:rFonts w:asciiTheme="minorHAnsi" w:eastAsia="Times New Roman" w:hAnsiTheme="minorHAnsi" w:cs="Arial"/>
                <w:b/>
                <w:lang w:val="en-GB"/>
              </w:rPr>
              <w:t>-0.2%</w:t>
            </w:r>
          </w:p>
        </w:tc>
      </w:tr>
      <w:tr w:rsidR="00F1657A" w:rsidRPr="002160E3" w14:paraId="6E01525C" w14:textId="77777777" w:rsidTr="005D7C32">
        <w:trPr>
          <w:trHeight w:val="255"/>
          <w:jc w:val="center"/>
        </w:trPr>
        <w:tc>
          <w:tcPr>
            <w:tcW w:w="4008" w:type="dxa"/>
            <w:gridSpan w:val="2"/>
            <w:tcBorders>
              <w:top w:val="nil"/>
              <w:left w:val="nil"/>
              <w:bottom w:val="nil"/>
              <w:right w:val="nil"/>
            </w:tcBorders>
            <w:shd w:val="clear" w:color="auto" w:fill="auto"/>
            <w:noWrap/>
            <w:vAlign w:val="bottom"/>
            <w:hideMark/>
          </w:tcPr>
          <w:p w14:paraId="1D031DDB" w14:textId="77777777" w:rsidR="00777973" w:rsidRPr="002160E3" w:rsidRDefault="00777973" w:rsidP="00EE389C">
            <w:pPr>
              <w:spacing w:after="0" w:line="240" w:lineRule="auto"/>
              <w:jc w:val="both"/>
              <w:rPr>
                <w:rFonts w:asciiTheme="minorHAnsi" w:hAnsiTheme="minorHAnsi" w:cs="Arial"/>
              </w:rPr>
            </w:pPr>
          </w:p>
          <w:p w14:paraId="1B9D0AD1" w14:textId="77777777" w:rsidR="00F1657A" w:rsidRPr="002160E3" w:rsidRDefault="00F1657A" w:rsidP="00E730D3">
            <w:pPr>
              <w:spacing w:after="0" w:line="240" w:lineRule="auto"/>
              <w:jc w:val="both"/>
              <w:rPr>
                <w:rFonts w:asciiTheme="minorHAnsi" w:eastAsia="Times New Roman" w:hAnsiTheme="minorHAnsi" w:cs="Arial"/>
                <w:b/>
                <w:bCs/>
                <w:lang w:val="en-GB"/>
              </w:rPr>
            </w:pPr>
            <w:r w:rsidRPr="002160E3">
              <w:rPr>
                <w:rFonts w:asciiTheme="minorHAnsi" w:eastAsia="Times New Roman" w:hAnsiTheme="minorHAnsi" w:cs="Arial"/>
                <w:b/>
                <w:bCs/>
                <w:lang w:val="en-GB"/>
              </w:rPr>
              <w:t>Change in the Index movement</w:t>
            </w:r>
          </w:p>
        </w:tc>
        <w:tc>
          <w:tcPr>
            <w:tcW w:w="1191" w:type="dxa"/>
            <w:tcBorders>
              <w:top w:val="nil"/>
              <w:left w:val="nil"/>
              <w:bottom w:val="nil"/>
              <w:right w:val="nil"/>
            </w:tcBorders>
            <w:shd w:val="clear" w:color="auto" w:fill="auto"/>
            <w:noWrap/>
            <w:vAlign w:val="bottom"/>
            <w:hideMark/>
          </w:tcPr>
          <w:p w14:paraId="72B4A680" w14:textId="77777777" w:rsidR="00F1657A" w:rsidRPr="002160E3" w:rsidRDefault="00F1657A" w:rsidP="00E72F6E">
            <w:pPr>
              <w:spacing w:after="0" w:line="240" w:lineRule="auto"/>
              <w:jc w:val="both"/>
              <w:rPr>
                <w:rFonts w:asciiTheme="minorHAnsi" w:eastAsia="Times New Roman" w:hAnsiTheme="minorHAnsi" w:cs="Arial"/>
                <w:lang w:val="en-GB"/>
              </w:rPr>
            </w:pPr>
          </w:p>
        </w:tc>
        <w:tc>
          <w:tcPr>
            <w:tcW w:w="1444" w:type="dxa"/>
            <w:tcBorders>
              <w:top w:val="nil"/>
              <w:left w:val="nil"/>
              <w:bottom w:val="nil"/>
              <w:right w:val="nil"/>
            </w:tcBorders>
            <w:shd w:val="clear" w:color="auto" w:fill="auto"/>
            <w:noWrap/>
            <w:vAlign w:val="bottom"/>
            <w:hideMark/>
          </w:tcPr>
          <w:p w14:paraId="17646DA5" w14:textId="77777777" w:rsidR="00F1657A" w:rsidRPr="002160E3" w:rsidRDefault="00F1657A" w:rsidP="00E72F6E">
            <w:pPr>
              <w:spacing w:after="0" w:line="240" w:lineRule="auto"/>
              <w:jc w:val="both"/>
              <w:rPr>
                <w:rFonts w:asciiTheme="minorHAnsi" w:eastAsia="Times New Roman" w:hAnsiTheme="minorHAnsi" w:cs="Arial"/>
                <w:lang w:val="en-GB"/>
              </w:rPr>
            </w:pPr>
          </w:p>
        </w:tc>
        <w:tc>
          <w:tcPr>
            <w:tcW w:w="1121" w:type="dxa"/>
            <w:tcBorders>
              <w:top w:val="nil"/>
              <w:left w:val="nil"/>
              <w:bottom w:val="nil"/>
              <w:right w:val="nil"/>
            </w:tcBorders>
            <w:shd w:val="clear" w:color="auto" w:fill="auto"/>
            <w:noWrap/>
            <w:vAlign w:val="bottom"/>
            <w:hideMark/>
          </w:tcPr>
          <w:p w14:paraId="02CF1110" w14:textId="77777777" w:rsidR="00F1657A" w:rsidRPr="002160E3" w:rsidRDefault="00F1657A" w:rsidP="00E72F6E">
            <w:pPr>
              <w:spacing w:after="0" w:line="240" w:lineRule="auto"/>
              <w:jc w:val="both"/>
              <w:rPr>
                <w:rFonts w:asciiTheme="minorHAnsi" w:eastAsia="Times New Roman" w:hAnsiTheme="minorHAnsi" w:cs="Arial"/>
                <w:lang w:val="en-GB"/>
              </w:rPr>
            </w:pPr>
          </w:p>
        </w:tc>
        <w:tc>
          <w:tcPr>
            <w:tcW w:w="1733" w:type="dxa"/>
            <w:tcBorders>
              <w:top w:val="nil"/>
              <w:left w:val="nil"/>
              <w:bottom w:val="nil"/>
              <w:right w:val="nil"/>
            </w:tcBorders>
            <w:shd w:val="clear" w:color="auto" w:fill="auto"/>
            <w:noWrap/>
            <w:vAlign w:val="bottom"/>
            <w:hideMark/>
          </w:tcPr>
          <w:p w14:paraId="5CCE362D" w14:textId="77777777" w:rsidR="00F1657A" w:rsidRPr="002160E3" w:rsidRDefault="00F1657A" w:rsidP="00E72F6E">
            <w:pPr>
              <w:spacing w:after="0" w:line="240" w:lineRule="auto"/>
              <w:jc w:val="both"/>
              <w:rPr>
                <w:rFonts w:asciiTheme="minorHAnsi" w:eastAsia="Times New Roman" w:hAnsiTheme="minorHAnsi" w:cs="Arial"/>
                <w:lang w:val="en-GB"/>
              </w:rPr>
            </w:pPr>
          </w:p>
        </w:tc>
      </w:tr>
      <w:tr w:rsidR="00F1657A" w:rsidRPr="002160E3" w14:paraId="175786A6" w14:textId="77777777" w:rsidTr="005D7C32">
        <w:trPr>
          <w:trHeight w:val="288"/>
          <w:jc w:val="center"/>
        </w:trPr>
        <w:tc>
          <w:tcPr>
            <w:tcW w:w="2895" w:type="dxa"/>
            <w:vMerge w:val="restar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3C1877C" w14:textId="77777777" w:rsidR="00F1657A" w:rsidRPr="002160E3" w:rsidRDefault="00F1657A" w:rsidP="00A57431">
            <w:pPr>
              <w:spacing w:after="0" w:line="240" w:lineRule="auto"/>
              <w:jc w:val="center"/>
              <w:rPr>
                <w:rFonts w:asciiTheme="minorHAnsi" w:eastAsia="Times New Roman" w:hAnsiTheme="minorHAnsi" w:cs="Arial"/>
                <w:b/>
                <w:lang w:val="en-GB"/>
              </w:rPr>
            </w:pPr>
            <w:r w:rsidRPr="002160E3">
              <w:rPr>
                <w:rFonts w:asciiTheme="minorHAnsi" w:eastAsia="Times New Roman" w:hAnsiTheme="minorHAnsi" w:cs="Arial"/>
                <w:b/>
                <w:lang w:val="en-GB"/>
              </w:rPr>
              <w:t>Description</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727787D2" w14:textId="77777777" w:rsidR="00F1657A" w:rsidRPr="002160E3" w:rsidRDefault="00F1657A" w:rsidP="00A57431">
            <w:pPr>
              <w:spacing w:after="0" w:line="240" w:lineRule="auto"/>
              <w:jc w:val="center"/>
              <w:rPr>
                <w:rFonts w:asciiTheme="minorHAnsi" w:eastAsia="Times New Roman" w:hAnsiTheme="minorHAnsi" w:cs="Arial"/>
                <w:b/>
                <w:bCs/>
                <w:lang w:val="en-GB"/>
              </w:rPr>
            </w:pPr>
            <w:r w:rsidRPr="002160E3">
              <w:rPr>
                <w:rFonts w:asciiTheme="minorHAnsi" w:eastAsia="Times New Roman" w:hAnsiTheme="minorHAnsi" w:cs="Arial"/>
                <w:b/>
                <w:bCs/>
                <w:lang w:val="en-GB"/>
              </w:rPr>
              <w:t>General Index</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6EA27314" w14:textId="77777777" w:rsidR="00F1657A" w:rsidRPr="002160E3" w:rsidRDefault="00F1657A" w:rsidP="00A57431">
            <w:pPr>
              <w:spacing w:after="0" w:line="240" w:lineRule="auto"/>
              <w:jc w:val="center"/>
              <w:rPr>
                <w:rFonts w:asciiTheme="minorHAnsi" w:eastAsia="Times New Roman" w:hAnsiTheme="minorHAnsi" w:cs="Arial"/>
                <w:b/>
                <w:bCs/>
                <w:lang w:val="en-GB"/>
              </w:rPr>
            </w:pPr>
            <w:r w:rsidRPr="002160E3">
              <w:rPr>
                <w:rFonts w:asciiTheme="minorHAnsi" w:eastAsia="Times New Roman" w:hAnsiTheme="minorHAnsi" w:cs="Arial"/>
                <w:b/>
                <w:bCs/>
                <w:lang w:val="en-GB"/>
              </w:rPr>
              <w:t>Industry</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6925C6C4" w14:textId="77777777" w:rsidR="00F1657A" w:rsidRPr="002160E3" w:rsidRDefault="00F1657A" w:rsidP="00A57431">
            <w:pPr>
              <w:spacing w:after="0" w:line="240" w:lineRule="auto"/>
              <w:jc w:val="center"/>
              <w:rPr>
                <w:rFonts w:asciiTheme="minorHAnsi" w:eastAsia="Times New Roman" w:hAnsiTheme="minorHAnsi" w:cs="Arial"/>
                <w:b/>
                <w:bCs/>
                <w:lang w:val="en-GB"/>
              </w:rPr>
            </w:pPr>
            <w:r w:rsidRPr="002160E3">
              <w:rPr>
                <w:rFonts w:asciiTheme="minorHAnsi" w:eastAsia="Times New Roman" w:hAnsiTheme="minorHAnsi" w:cs="Arial"/>
                <w:b/>
                <w:bCs/>
                <w:lang w:val="en-GB"/>
              </w:rPr>
              <w:t>Banking and Investments</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69473AD2" w14:textId="77777777" w:rsidR="00F1657A" w:rsidRPr="002160E3" w:rsidRDefault="00F1657A" w:rsidP="00A57431">
            <w:pPr>
              <w:spacing w:after="0" w:line="240" w:lineRule="auto"/>
              <w:jc w:val="center"/>
              <w:rPr>
                <w:rFonts w:asciiTheme="minorHAnsi" w:eastAsia="Times New Roman" w:hAnsiTheme="minorHAnsi" w:cs="Arial"/>
                <w:b/>
                <w:bCs/>
                <w:lang w:val="en-GB"/>
              </w:rPr>
            </w:pPr>
            <w:r w:rsidRPr="002160E3">
              <w:rPr>
                <w:rFonts w:asciiTheme="minorHAnsi" w:eastAsia="Times New Roman" w:hAnsiTheme="minorHAnsi" w:cs="Arial"/>
                <w:b/>
                <w:bCs/>
                <w:lang w:val="en-GB"/>
              </w:rPr>
              <w:t>Services</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6CA88086" w14:textId="77777777" w:rsidR="00F1657A" w:rsidRPr="002160E3" w:rsidRDefault="00F1657A" w:rsidP="00A57431">
            <w:pPr>
              <w:spacing w:after="0" w:line="240" w:lineRule="auto"/>
              <w:jc w:val="center"/>
              <w:rPr>
                <w:rFonts w:asciiTheme="minorHAnsi" w:eastAsia="Times New Roman" w:hAnsiTheme="minorHAnsi" w:cs="Arial"/>
                <w:b/>
                <w:bCs/>
                <w:lang w:val="en-GB"/>
              </w:rPr>
            </w:pPr>
            <w:r w:rsidRPr="002160E3">
              <w:rPr>
                <w:rFonts w:asciiTheme="minorHAnsi" w:eastAsia="Times New Roman" w:hAnsiTheme="minorHAnsi" w:cs="Arial"/>
                <w:b/>
                <w:bCs/>
                <w:lang w:val="en-GB"/>
              </w:rPr>
              <w:t>Change in General Index</w:t>
            </w:r>
          </w:p>
        </w:tc>
      </w:tr>
      <w:tr w:rsidR="00F1657A" w:rsidRPr="002160E3" w14:paraId="3887A720" w14:textId="77777777" w:rsidTr="005D7C32">
        <w:trPr>
          <w:trHeight w:val="288"/>
          <w:jc w:val="center"/>
        </w:trPr>
        <w:tc>
          <w:tcPr>
            <w:tcW w:w="2895"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13D54C6C" w14:textId="77777777" w:rsidR="00F1657A" w:rsidRPr="002160E3" w:rsidRDefault="00F1657A" w:rsidP="00A57431">
            <w:pPr>
              <w:spacing w:after="0" w:line="240" w:lineRule="auto"/>
              <w:jc w:val="center"/>
              <w:rPr>
                <w:rFonts w:asciiTheme="minorHAnsi" w:eastAsia="Times New Roman" w:hAnsiTheme="minorHAnsi" w:cs="Arial"/>
                <w:lang w:val="en-GB"/>
              </w:rPr>
            </w:pPr>
          </w:p>
        </w:tc>
        <w:tc>
          <w:tcPr>
            <w:tcW w:w="1113"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78E194F6" w14:textId="77777777" w:rsidR="00F1657A" w:rsidRPr="002160E3" w:rsidRDefault="00F1657A" w:rsidP="00A57431">
            <w:pPr>
              <w:spacing w:after="0" w:line="240" w:lineRule="auto"/>
              <w:jc w:val="center"/>
              <w:rPr>
                <w:rFonts w:asciiTheme="minorHAnsi" w:eastAsia="Times New Roman" w:hAnsiTheme="minorHAnsi" w:cs="Arial"/>
                <w:b/>
                <w:bCs/>
                <w:lang w:val="en-GB"/>
              </w:rPr>
            </w:pPr>
          </w:p>
        </w:tc>
        <w:tc>
          <w:tcPr>
            <w:tcW w:w="1191"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011C9762" w14:textId="77777777" w:rsidR="00F1657A" w:rsidRPr="002160E3" w:rsidRDefault="00F1657A" w:rsidP="00A57431">
            <w:pPr>
              <w:spacing w:after="0" w:line="240" w:lineRule="auto"/>
              <w:jc w:val="center"/>
              <w:rPr>
                <w:rFonts w:asciiTheme="minorHAnsi" w:eastAsia="Times New Roman" w:hAnsiTheme="minorHAnsi" w:cs="Arial"/>
                <w:b/>
                <w:bCs/>
                <w:lang w:val="en-GB"/>
              </w:rPr>
            </w:pPr>
          </w:p>
        </w:tc>
        <w:tc>
          <w:tcPr>
            <w:tcW w:w="1444"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0E84160" w14:textId="77777777" w:rsidR="00F1657A" w:rsidRPr="002160E3" w:rsidRDefault="00F1657A" w:rsidP="00A57431">
            <w:pPr>
              <w:spacing w:after="0" w:line="240" w:lineRule="auto"/>
              <w:jc w:val="center"/>
              <w:rPr>
                <w:rFonts w:asciiTheme="minorHAnsi" w:eastAsia="Times New Roman" w:hAnsiTheme="minorHAnsi" w:cs="Arial"/>
                <w:b/>
                <w:bCs/>
                <w:lang w:val="en-GB"/>
              </w:rPr>
            </w:pPr>
          </w:p>
        </w:tc>
        <w:tc>
          <w:tcPr>
            <w:tcW w:w="1121"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920D140" w14:textId="77777777" w:rsidR="00F1657A" w:rsidRPr="002160E3" w:rsidRDefault="00F1657A" w:rsidP="00A57431">
            <w:pPr>
              <w:spacing w:after="0" w:line="240" w:lineRule="auto"/>
              <w:jc w:val="center"/>
              <w:rPr>
                <w:rFonts w:asciiTheme="minorHAnsi" w:eastAsia="Times New Roman" w:hAnsiTheme="minorHAnsi" w:cs="Arial"/>
                <w:b/>
                <w:bCs/>
                <w:lang w:val="en-GB"/>
              </w:rPr>
            </w:pPr>
          </w:p>
        </w:tc>
        <w:tc>
          <w:tcPr>
            <w:tcW w:w="1733"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6B084D3A" w14:textId="77777777" w:rsidR="00F1657A" w:rsidRPr="002160E3" w:rsidRDefault="00F1657A" w:rsidP="00A57431">
            <w:pPr>
              <w:spacing w:after="0" w:line="240" w:lineRule="auto"/>
              <w:jc w:val="center"/>
              <w:rPr>
                <w:rFonts w:asciiTheme="minorHAnsi" w:eastAsia="Times New Roman" w:hAnsiTheme="minorHAnsi" w:cs="Arial"/>
                <w:b/>
                <w:bCs/>
                <w:lang w:val="en-GB"/>
              </w:rPr>
            </w:pPr>
          </w:p>
        </w:tc>
      </w:tr>
      <w:tr w:rsidR="00F1657A" w:rsidRPr="002160E3" w14:paraId="5E1F2088" w14:textId="77777777" w:rsidTr="005D7C32">
        <w:trPr>
          <w:trHeight w:val="276"/>
          <w:jc w:val="center"/>
        </w:trPr>
        <w:tc>
          <w:tcPr>
            <w:tcW w:w="2895"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723569C" w14:textId="77777777" w:rsidR="00F1657A" w:rsidRPr="002160E3" w:rsidRDefault="00F1657A" w:rsidP="00A57431">
            <w:pPr>
              <w:spacing w:after="0" w:line="240" w:lineRule="auto"/>
              <w:jc w:val="center"/>
              <w:rPr>
                <w:rFonts w:asciiTheme="minorHAnsi" w:eastAsia="Times New Roman" w:hAnsiTheme="minorHAnsi" w:cs="Arial"/>
                <w:lang w:val="en-GB"/>
              </w:rPr>
            </w:pPr>
          </w:p>
        </w:tc>
        <w:tc>
          <w:tcPr>
            <w:tcW w:w="1113"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31BE6C4C" w14:textId="77777777" w:rsidR="00F1657A" w:rsidRPr="002160E3" w:rsidRDefault="00F1657A" w:rsidP="00A57431">
            <w:pPr>
              <w:spacing w:after="0" w:line="240" w:lineRule="auto"/>
              <w:jc w:val="center"/>
              <w:rPr>
                <w:rFonts w:asciiTheme="minorHAnsi" w:eastAsia="Times New Roman" w:hAnsiTheme="minorHAnsi" w:cs="Arial"/>
                <w:b/>
                <w:bCs/>
                <w:lang w:val="en-GB"/>
              </w:rPr>
            </w:pPr>
          </w:p>
        </w:tc>
        <w:tc>
          <w:tcPr>
            <w:tcW w:w="1191"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714D8057" w14:textId="77777777" w:rsidR="00F1657A" w:rsidRPr="002160E3" w:rsidRDefault="00F1657A" w:rsidP="00A57431">
            <w:pPr>
              <w:spacing w:after="0" w:line="240" w:lineRule="auto"/>
              <w:jc w:val="center"/>
              <w:rPr>
                <w:rFonts w:asciiTheme="minorHAnsi" w:eastAsia="Times New Roman" w:hAnsiTheme="minorHAnsi" w:cs="Arial"/>
                <w:b/>
                <w:bCs/>
                <w:lang w:val="en-GB"/>
              </w:rPr>
            </w:pPr>
          </w:p>
        </w:tc>
        <w:tc>
          <w:tcPr>
            <w:tcW w:w="1444"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541768D" w14:textId="77777777" w:rsidR="00F1657A" w:rsidRPr="002160E3" w:rsidRDefault="00F1657A" w:rsidP="00A57431">
            <w:pPr>
              <w:spacing w:after="0" w:line="240" w:lineRule="auto"/>
              <w:jc w:val="center"/>
              <w:rPr>
                <w:rFonts w:asciiTheme="minorHAnsi" w:eastAsia="Times New Roman" w:hAnsiTheme="minorHAnsi" w:cs="Arial"/>
                <w:b/>
                <w:bCs/>
                <w:lang w:val="en-GB"/>
              </w:rPr>
            </w:pPr>
          </w:p>
        </w:tc>
        <w:tc>
          <w:tcPr>
            <w:tcW w:w="1121"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7B6DDD1B" w14:textId="77777777" w:rsidR="00F1657A" w:rsidRPr="002160E3" w:rsidRDefault="00F1657A" w:rsidP="00A57431">
            <w:pPr>
              <w:spacing w:after="0" w:line="240" w:lineRule="auto"/>
              <w:jc w:val="center"/>
              <w:rPr>
                <w:rFonts w:asciiTheme="minorHAnsi" w:eastAsia="Times New Roman" w:hAnsiTheme="minorHAnsi" w:cs="Arial"/>
                <w:b/>
                <w:bCs/>
                <w:lang w:val="en-GB"/>
              </w:rPr>
            </w:pPr>
          </w:p>
        </w:tc>
        <w:tc>
          <w:tcPr>
            <w:tcW w:w="1733" w:type="dxa"/>
            <w:vMerge/>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0C84580" w14:textId="77777777" w:rsidR="00F1657A" w:rsidRPr="002160E3" w:rsidRDefault="00F1657A" w:rsidP="00A57431">
            <w:pPr>
              <w:spacing w:after="0" w:line="240" w:lineRule="auto"/>
              <w:jc w:val="center"/>
              <w:rPr>
                <w:rFonts w:asciiTheme="minorHAnsi" w:eastAsia="Times New Roman" w:hAnsiTheme="minorHAnsi" w:cs="Arial"/>
                <w:b/>
                <w:bCs/>
                <w:lang w:val="en-GB"/>
              </w:rPr>
            </w:pPr>
          </w:p>
        </w:tc>
      </w:tr>
      <w:tr w:rsidR="00F1657A" w:rsidRPr="002160E3" w14:paraId="7253AA66" w14:textId="77777777" w:rsidTr="005D7C32">
        <w:trPr>
          <w:trHeight w:val="20"/>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6B2FE3DC" w14:textId="77777777" w:rsidR="00F1657A" w:rsidRPr="002160E3" w:rsidRDefault="00FB77D1" w:rsidP="00BD6D9B">
            <w:pPr>
              <w:spacing w:after="0"/>
              <w:jc w:val="center"/>
              <w:rPr>
                <w:rFonts w:asciiTheme="minorHAnsi" w:hAnsiTheme="minorHAnsi" w:cs="Arial"/>
                <w:color w:val="000000"/>
                <w:lang w:val="en-GB"/>
              </w:rPr>
            </w:pPr>
            <w:r w:rsidRPr="002160E3">
              <w:rPr>
                <w:rFonts w:asciiTheme="minorHAnsi" w:hAnsiTheme="minorHAnsi" w:cs="Arial"/>
                <w:color w:val="000000"/>
                <w:lang w:val="en-GB"/>
              </w:rPr>
              <w:t>Mar 201</w:t>
            </w:r>
            <w:r w:rsidR="00BD6D9B" w:rsidRPr="002160E3">
              <w:rPr>
                <w:rFonts w:asciiTheme="minorHAnsi" w:hAnsiTheme="minorHAnsi" w:cs="Arial"/>
                <w:color w:val="000000"/>
                <w:lang w:val="en-GB"/>
              </w:rPr>
              <w:t>6</w:t>
            </w:r>
          </w:p>
        </w:tc>
        <w:tc>
          <w:tcPr>
            <w:tcW w:w="1113" w:type="dxa"/>
            <w:tcBorders>
              <w:top w:val="nil"/>
              <w:left w:val="nil"/>
              <w:bottom w:val="single" w:sz="4" w:space="0" w:color="auto"/>
              <w:right w:val="single" w:sz="4" w:space="0" w:color="auto"/>
            </w:tcBorders>
            <w:shd w:val="clear" w:color="auto" w:fill="DBE5F1" w:themeFill="accent1" w:themeFillTint="33"/>
            <w:vAlign w:val="center"/>
          </w:tcPr>
          <w:p w14:paraId="274562B0" w14:textId="77777777" w:rsidR="00F1657A" w:rsidRPr="002160E3" w:rsidRDefault="009B77E5" w:rsidP="00D904A6">
            <w:pPr>
              <w:spacing w:after="0"/>
              <w:jc w:val="right"/>
              <w:rPr>
                <w:rFonts w:asciiTheme="minorHAnsi" w:hAnsiTheme="minorHAnsi" w:cs="Arial"/>
                <w:color w:val="000000"/>
                <w:lang w:val="en-GB"/>
              </w:rPr>
            </w:pPr>
            <w:r w:rsidRPr="002160E3">
              <w:rPr>
                <w:rFonts w:asciiTheme="minorHAnsi" w:hAnsiTheme="minorHAnsi" w:cs="Arial"/>
                <w:color w:val="000000"/>
                <w:lang w:val="en-GB"/>
              </w:rPr>
              <w:t>5,467.42</w:t>
            </w:r>
          </w:p>
        </w:tc>
        <w:tc>
          <w:tcPr>
            <w:tcW w:w="1191" w:type="dxa"/>
            <w:tcBorders>
              <w:top w:val="nil"/>
              <w:left w:val="nil"/>
              <w:bottom w:val="single" w:sz="4" w:space="0" w:color="auto"/>
              <w:right w:val="single" w:sz="4" w:space="0" w:color="auto"/>
            </w:tcBorders>
            <w:shd w:val="clear" w:color="auto" w:fill="DBE5F1" w:themeFill="accent1" w:themeFillTint="33"/>
            <w:vAlign w:val="center"/>
          </w:tcPr>
          <w:p w14:paraId="2BE7C5D7" w14:textId="77777777" w:rsidR="00F1657A" w:rsidRPr="002160E3" w:rsidRDefault="009B77E5" w:rsidP="005D7C32">
            <w:pPr>
              <w:spacing w:after="0"/>
              <w:jc w:val="right"/>
              <w:rPr>
                <w:rFonts w:asciiTheme="minorHAnsi" w:hAnsiTheme="minorHAnsi" w:cs="Arial"/>
                <w:color w:val="000000"/>
                <w:lang w:val="en-GB"/>
              </w:rPr>
            </w:pPr>
            <w:r w:rsidRPr="002160E3">
              <w:rPr>
                <w:rFonts w:asciiTheme="minorHAnsi" w:hAnsiTheme="minorHAnsi" w:cs="Arial"/>
                <w:color w:val="000000"/>
                <w:lang w:val="en-GB"/>
              </w:rPr>
              <w:t>6,661.86</w:t>
            </w:r>
          </w:p>
        </w:tc>
        <w:tc>
          <w:tcPr>
            <w:tcW w:w="1444" w:type="dxa"/>
            <w:tcBorders>
              <w:top w:val="nil"/>
              <w:left w:val="nil"/>
              <w:bottom w:val="single" w:sz="4" w:space="0" w:color="auto"/>
              <w:right w:val="single" w:sz="4" w:space="0" w:color="auto"/>
            </w:tcBorders>
            <w:shd w:val="clear" w:color="auto" w:fill="DBE5F1" w:themeFill="accent1" w:themeFillTint="33"/>
            <w:vAlign w:val="center"/>
          </w:tcPr>
          <w:p w14:paraId="759DA304" w14:textId="77777777" w:rsidR="00F1657A" w:rsidRPr="002160E3" w:rsidRDefault="009B77E5" w:rsidP="00D904A6">
            <w:pPr>
              <w:spacing w:after="0"/>
              <w:jc w:val="right"/>
              <w:rPr>
                <w:rFonts w:asciiTheme="minorHAnsi" w:hAnsiTheme="minorHAnsi" w:cs="Arial"/>
                <w:color w:val="000000"/>
                <w:lang w:val="en-GB"/>
              </w:rPr>
            </w:pPr>
            <w:r w:rsidRPr="002160E3">
              <w:rPr>
                <w:rFonts w:asciiTheme="minorHAnsi" w:hAnsiTheme="minorHAnsi" w:cs="Arial"/>
                <w:color w:val="000000"/>
                <w:lang w:val="en-GB"/>
              </w:rPr>
              <w:t>6,906.71</w:t>
            </w:r>
          </w:p>
        </w:tc>
        <w:tc>
          <w:tcPr>
            <w:tcW w:w="1121" w:type="dxa"/>
            <w:tcBorders>
              <w:top w:val="nil"/>
              <w:left w:val="nil"/>
              <w:bottom w:val="single" w:sz="4" w:space="0" w:color="auto"/>
              <w:right w:val="single" w:sz="4" w:space="0" w:color="auto"/>
            </w:tcBorders>
            <w:shd w:val="clear" w:color="auto" w:fill="DBE5F1" w:themeFill="accent1" w:themeFillTint="33"/>
            <w:vAlign w:val="center"/>
          </w:tcPr>
          <w:p w14:paraId="3B83CF75" w14:textId="77777777" w:rsidR="00F1657A" w:rsidRPr="002160E3" w:rsidRDefault="009B77E5" w:rsidP="00D904A6">
            <w:pPr>
              <w:spacing w:after="0"/>
              <w:jc w:val="right"/>
              <w:rPr>
                <w:rFonts w:asciiTheme="minorHAnsi" w:hAnsiTheme="minorHAnsi" w:cs="Arial"/>
                <w:color w:val="000000"/>
                <w:lang w:val="en-GB"/>
              </w:rPr>
            </w:pPr>
            <w:r w:rsidRPr="002160E3">
              <w:rPr>
                <w:rFonts w:asciiTheme="minorHAnsi" w:hAnsiTheme="minorHAnsi" w:cs="Arial"/>
                <w:color w:val="000000"/>
                <w:lang w:val="en-GB"/>
              </w:rPr>
              <w:t>3,101.77</w:t>
            </w:r>
          </w:p>
        </w:tc>
        <w:tc>
          <w:tcPr>
            <w:tcW w:w="1733" w:type="dxa"/>
            <w:tcBorders>
              <w:top w:val="nil"/>
              <w:left w:val="nil"/>
              <w:bottom w:val="single" w:sz="4" w:space="0" w:color="auto"/>
              <w:right w:val="single" w:sz="4" w:space="0" w:color="auto"/>
            </w:tcBorders>
            <w:shd w:val="clear" w:color="auto" w:fill="DBE5F1" w:themeFill="accent1" w:themeFillTint="33"/>
            <w:vAlign w:val="center"/>
          </w:tcPr>
          <w:p w14:paraId="4ABA90D9" w14:textId="77777777" w:rsidR="00F1657A" w:rsidRPr="002160E3" w:rsidRDefault="009B77E5" w:rsidP="00D904A6">
            <w:pPr>
              <w:spacing w:after="0"/>
              <w:jc w:val="right"/>
              <w:rPr>
                <w:rFonts w:asciiTheme="minorHAnsi" w:hAnsiTheme="minorHAnsi" w:cs="Arial"/>
                <w:color w:val="000000"/>
                <w:lang w:val="en-GB"/>
              </w:rPr>
            </w:pPr>
            <w:r w:rsidRPr="002160E3">
              <w:rPr>
                <w:rFonts w:asciiTheme="minorHAnsi" w:hAnsiTheme="minorHAnsi" w:cs="Arial"/>
                <w:color w:val="000000"/>
                <w:lang w:val="en-GB"/>
              </w:rPr>
              <w:t>-12.35%</w:t>
            </w:r>
          </w:p>
        </w:tc>
      </w:tr>
      <w:tr w:rsidR="00BD6D9B" w:rsidRPr="002160E3" w14:paraId="400E543D" w14:textId="77777777" w:rsidTr="005D7C32">
        <w:trPr>
          <w:trHeight w:val="20"/>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EBCF588" w14:textId="77777777" w:rsidR="00BD6D9B" w:rsidRPr="002160E3" w:rsidRDefault="00BD6D9B" w:rsidP="00812A3F">
            <w:pPr>
              <w:spacing w:after="0"/>
              <w:jc w:val="center"/>
              <w:rPr>
                <w:rFonts w:asciiTheme="minorHAnsi" w:hAnsiTheme="minorHAnsi" w:cs="Arial"/>
                <w:color w:val="000000"/>
                <w:lang w:val="en-GB"/>
              </w:rPr>
            </w:pPr>
            <w:r w:rsidRPr="002160E3">
              <w:rPr>
                <w:rFonts w:asciiTheme="minorHAnsi" w:hAnsiTheme="minorHAnsi" w:cs="Arial"/>
                <w:color w:val="000000"/>
                <w:lang w:val="en-GB"/>
              </w:rPr>
              <w:t>Mar 2015</w:t>
            </w:r>
          </w:p>
        </w:tc>
        <w:tc>
          <w:tcPr>
            <w:tcW w:w="1113" w:type="dxa"/>
            <w:tcBorders>
              <w:top w:val="nil"/>
              <w:left w:val="nil"/>
              <w:bottom w:val="single" w:sz="4" w:space="0" w:color="auto"/>
              <w:right w:val="single" w:sz="4" w:space="0" w:color="auto"/>
            </w:tcBorders>
            <w:shd w:val="clear" w:color="auto" w:fill="DBE5F1" w:themeFill="accent1" w:themeFillTint="33"/>
            <w:vAlign w:val="center"/>
          </w:tcPr>
          <w:p w14:paraId="02241A3B"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6,238.00</w:t>
            </w:r>
          </w:p>
        </w:tc>
        <w:tc>
          <w:tcPr>
            <w:tcW w:w="1191" w:type="dxa"/>
            <w:tcBorders>
              <w:top w:val="nil"/>
              <w:left w:val="nil"/>
              <w:bottom w:val="single" w:sz="4" w:space="0" w:color="auto"/>
              <w:right w:val="single" w:sz="4" w:space="0" w:color="auto"/>
            </w:tcBorders>
            <w:shd w:val="clear" w:color="auto" w:fill="DBE5F1" w:themeFill="accent1" w:themeFillTint="33"/>
            <w:vAlign w:val="center"/>
          </w:tcPr>
          <w:p w14:paraId="3E0F0946"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8,158.29</w:t>
            </w:r>
          </w:p>
        </w:tc>
        <w:tc>
          <w:tcPr>
            <w:tcW w:w="1444" w:type="dxa"/>
            <w:tcBorders>
              <w:top w:val="nil"/>
              <w:left w:val="nil"/>
              <w:bottom w:val="single" w:sz="4" w:space="0" w:color="auto"/>
              <w:right w:val="single" w:sz="4" w:space="0" w:color="auto"/>
            </w:tcBorders>
            <w:shd w:val="clear" w:color="auto" w:fill="DBE5F1" w:themeFill="accent1" w:themeFillTint="33"/>
            <w:vAlign w:val="center"/>
          </w:tcPr>
          <w:p w14:paraId="61E392FA"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7,704.64</w:t>
            </w:r>
          </w:p>
        </w:tc>
        <w:tc>
          <w:tcPr>
            <w:tcW w:w="1121" w:type="dxa"/>
            <w:tcBorders>
              <w:top w:val="nil"/>
              <w:left w:val="nil"/>
              <w:bottom w:val="single" w:sz="4" w:space="0" w:color="auto"/>
              <w:right w:val="single" w:sz="4" w:space="0" w:color="auto"/>
            </w:tcBorders>
            <w:shd w:val="clear" w:color="auto" w:fill="DBE5F1" w:themeFill="accent1" w:themeFillTint="33"/>
            <w:vAlign w:val="center"/>
          </w:tcPr>
          <w:p w14:paraId="728A7BC6"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3,425.86</w:t>
            </w:r>
          </w:p>
        </w:tc>
        <w:tc>
          <w:tcPr>
            <w:tcW w:w="1733" w:type="dxa"/>
            <w:tcBorders>
              <w:top w:val="nil"/>
              <w:left w:val="nil"/>
              <w:bottom w:val="single" w:sz="4" w:space="0" w:color="auto"/>
              <w:right w:val="single" w:sz="4" w:space="0" w:color="auto"/>
            </w:tcBorders>
            <w:shd w:val="clear" w:color="auto" w:fill="DBE5F1" w:themeFill="accent1" w:themeFillTint="33"/>
            <w:vAlign w:val="center"/>
          </w:tcPr>
          <w:p w14:paraId="45BB5DE8"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-9.04%</w:t>
            </w:r>
          </w:p>
        </w:tc>
      </w:tr>
      <w:tr w:rsidR="00BD6D9B" w:rsidRPr="002160E3" w14:paraId="289EEA5A" w14:textId="77777777" w:rsidTr="005D7C32">
        <w:trPr>
          <w:trHeight w:val="20"/>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0C28287" w14:textId="77777777" w:rsidR="00BD6D9B" w:rsidRPr="002160E3" w:rsidRDefault="00BD6D9B" w:rsidP="00812A3F">
            <w:pPr>
              <w:spacing w:after="0"/>
              <w:jc w:val="center"/>
              <w:rPr>
                <w:rFonts w:asciiTheme="minorHAnsi" w:hAnsiTheme="minorHAnsi" w:cs="Arial"/>
                <w:color w:val="000000"/>
                <w:lang w:val="en-GB"/>
              </w:rPr>
            </w:pPr>
            <w:r w:rsidRPr="002160E3">
              <w:rPr>
                <w:rFonts w:asciiTheme="minorHAnsi" w:hAnsiTheme="minorHAnsi" w:cs="Arial"/>
                <w:color w:val="000000"/>
                <w:lang w:val="en-GB"/>
              </w:rPr>
              <w:t>Mar 2014</w:t>
            </w:r>
          </w:p>
        </w:tc>
        <w:tc>
          <w:tcPr>
            <w:tcW w:w="1113" w:type="dxa"/>
            <w:tcBorders>
              <w:top w:val="nil"/>
              <w:left w:val="nil"/>
              <w:bottom w:val="single" w:sz="4" w:space="0" w:color="auto"/>
              <w:right w:val="single" w:sz="4" w:space="0" w:color="auto"/>
            </w:tcBorders>
            <w:shd w:val="clear" w:color="auto" w:fill="DBE5F1" w:themeFill="accent1" w:themeFillTint="33"/>
            <w:vAlign w:val="center"/>
          </w:tcPr>
          <w:p w14:paraId="41162AC4"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6,858.89</w:t>
            </w:r>
          </w:p>
        </w:tc>
        <w:tc>
          <w:tcPr>
            <w:tcW w:w="1191" w:type="dxa"/>
            <w:tcBorders>
              <w:top w:val="nil"/>
              <w:left w:val="nil"/>
              <w:bottom w:val="single" w:sz="4" w:space="0" w:color="auto"/>
              <w:right w:val="single" w:sz="4" w:space="0" w:color="auto"/>
            </w:tcBorders>
            <w:shd w:val="clear" w:color="auto" w:fill="DBE5F1" w:themeFill="accent1" w:themeFillTint="33"/>
            <w:vAlign w:val="center"/>
          </w:tcPr>
          <w:p w14:paraId="0A73841D"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10,534.23</w:t>
            </w:r>
          </w:p>
        </w:tc>
        <w:tc>
          <w:tcPr>
            <w:tcW w:w="1444" w:type="dxa"/>
            <w:tcBorders>
              <w:top w:val="nil"/>
              <w:left w:val="nil"/>
              <w:bottom w:val="single" w:sz="4" w:space="0" w:color="auto"/>
              <w:right w:val="single" w:sz="4" w:space="0" w:color="auto"/>
            </w:tcBorders>
            <w:shd w:val="clear" w:color="auto" w:fill="DBE5F1" w:themeFill="accent1" w:themeFillTint="33"/>
            <w:vAlign w:val="center"/>
          </w:tcPr>
          <w:p w14:paraId="0CA0027D"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8,140.76</w:t>
            </w:r>
          </w:p>
        </w:tc>
        <w:tc>
          <w:tcPr>
            <w:tcW w:w="1121" w:type="dxa"/>
            <w:tcBorders>
              <w:top w:val="nil"/>
              <w:left w:val="nil"/>
              <w:bottom w:val="single" w:sz="4" w:space="0" w:color="auto"/>
              <w:right w:val="single" w:sz="4" w:space="0" w:color="auto"/>
            </w:tcBorders>
            <w:shd w:val="clear" w:color="auto" w:fill="DBE5F1" w:themeFill="accent1" w:themeFillTint="33"/>
            <w:vAlign w:val="center"/>
          </w:tcPr>
          <w:p w14:paraId="718C207E"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3,696.57</w:t>
            </w:r>
          </w:p>
        </w:tc>
        <w:tc>
          <w:tcPr>
            <w:tcW w:w="1733" w:type="dxa"/>
            <w:tcBorders>
              <w:top w:val="nil"/>
              <w:left w:val="nil"/>
              <w:bottom w:val="single" w:sz="4" w:space="0" w:color="auto"/>
              <w:right w:val="single" w:sz="4" w:space="0" w:color="auto"/>
            </w:tcBorders>
            <w:shd w:val="clear" w:color="auto" w:fill="DBE5F1" w:themeFill="accent1" w:themeFillTint="33"/>
            <w:vAlign w:val="center"/>
          </w:tcPr>
          <w:p w14:paraId="27C76C9F"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14.51%</w:t>
            </w:r>
          </w:p>
        </w:tc>
      </w:tr>
      <w:tr w:rsidR="00BD6D9B" w:rsidRPr="002160E3" w14:paraId="25505583" w14:textId="77777777" w:rsidTr="005D7C32">
        <w:trPr>
          <w:trHeight w:val="20"/>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3914952" w14:textId="77777777" w:rsidR="00BD6D9B" w:rsidRPr="002160E3" w:rsidRDefault="00BD6D9B" w:rsidP="00812A3F">
            <w:pPr>
              <w:spacing w:after="0"/>
              <w:jc w:val="center"/>
              <w:rPr>
                <w:rFonts w:asciiTheme="minorHAnsi" w:hAnsiTheme="minorHAnsi" w:cs="Arial"/>
                <w:color w:val="000000"/>
                <w:lang w:val="en-GB"/>
              </w:rPr>
            </w:pPr>
            <w:r w:rsidRPr="002160E3">
              <w:rPr>
                <w:rFonts w:asciiTheme="minorHAnsi" w:hAnsiTheme="minorHAnsi" w:cs="Arial"/>
                <w:color w:val="000000"/>
                <w:lang w:val="en-GB"/>
              </w:rPr>
              <w:t>Mar 2013</w:t>
            </w:r>
          </w:p>
        </w:tc>
        <w:tc>
          <w:tcPr>
            <w:tcW w:w="1113" w:type="dxa"/>
            <w:tcBorders>
              <w:top w:val="nil"/>
              <w:left w:val="nil"/>
              <w:bottom w:val="single" w:sz="4" w:space="0" w:color="auto"/>
              <w:right w:val="single" w:sz="4" w:space="0" w:color="auto"/>
            </w:tcBorders>
            <w:shd w:val="clear" w:color="auto" w:fill="DBE5F1" w:themeFill="accent1" w:themeFillTint="33"/>
            <w:vAlign w:val="center"/>
          </w:tcPr>
          <w:p w14:paraId="27B6CBB2"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5,989.68</w:t>
            </w:r>
          </w:p>
        </w:tc>
        <w:tc>
          <w:tcPr>
            <w:tcW w:w="1191" w:type="dxa"/>
            <w:tcBorders>
              <w:top w:val="nil"/>
              <w:left w:val="nil"/>
              <w:bottom w:val="single" w:sz="4" w:space="0" w:color="auto"/>
              <w:right w:val="single" w:sz="4" w:space="0" w:color="auto"/>
            </w:tcBorders>
            <w:shd w:val="clear" w:color="auto" w:fill="DBE5F1" w:themeFill="accent1" w:themeFillTint="33"/>
            <w:vAlign w:val="center"/>
          </w:tcPr>
          <w:p w14:paraId="2AB13DB6"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8,155.30</w:t>
            </w:r>
          </w:p>
        </w:tc>
        <w:tc>
          <w:tcPr>
            <w:tcW w:w="1444" w:type="dxa"/>
            <w:tcBorders>
              <w:top w:val="nil"/>
              <w:left w:val="nil"/>
              <w:bottom w:val="single" w:sz="4" w:space="0" w:color="auto"/>
              <w:right w:val="single" w:sz="4" w:space="0" w:color="auto"/>
            </w:tcBorders>
            <w:shd w:val="clear" w:color="auto" w:fill="DBE5F1" w:themeFill="accent1" w:themeFillTint="33"/>
            <w:vAlign w:val="center"/>
          </w:tcPr>
          <w:p w14:paraId="6C9944FC"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7,271.57</w:t>
            </w:r>
          </w:p>
        </w:tc>
        <w:tc>
          <w:tcPr>
            <w:tcW w:w="1121" w:type="dxa"/>
            <w:tcBorders>
              <w:top w:val="nil"/>
              <w:left w:val="nil"/>
              <w:bottom w:val="single" w:sz="4" w:space="0" w:color="auto"/>
              <w:right w:val="single" w:sz="4" w:space="0" w:color="auto"/>
            </w:tcBorders>
            <w:shd w:val="clear" w:color="auto" w:fill="DBE5F1" w:themeFill="accent1" w:themeFillTint="33"/>
            <w:vAlign w:val="center"/>
          </w:tcPr>
          <w:p w14:paraId="4EF85788"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3,150.72</w:t>
            </w:r>
          </w:p>
        </w:tc>
        <w:tc>
          <w:tcPr>
            <w:tcW w:w="1733" w:type="dxa"/>
            <w:tcBorders>
              <w:top w:val="nil"/>
              <w:left w:val="nil"/>
              <w:bottom w:val="single" w:sz="4" w:space="0" w:color="auto"/>
              <w:right w:val="single" w:sz="4" w:space="0" w:color="auto"/>
            </w:tcBorders>
            <w:shd w:val="clear" w:color="auto" w:fill="DBE5F1" w:themeFill="accent1" w:themeFillTint="33"/>
            <w:vAlign w:val="center"/>
          </w:tcPr>
          <w:p w14:paraId="2842CA1C"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5.27%</w:t>
            </w:r>
          </w:p>
        </w:tc>
      </w:tr>
      <w:tr w:rsidR="00BD6D9B" w:rsidRPr="002160E3" w14:paraId="58AF7AF2" w14:textId="77777777" w:rsidTr="005D7C32">
        <w:trPr>
          <w:trHeight w:val="20"/>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15ED450E" w14:textId="77777777" w:rsidR="00BD6D9B" w:rsidRPr="002160E3" w:rsidRDefault="00BD6D9B" w:rsidP="00812A3F">
            <w:pPr>
              <w:spacing w:after="0"/>
              <w:jc w:val="center"/>
              <w:rPr>
                <w:rFonts w:asciiTheme="minorHAnsi" w:hAnsiTheme="minorHAnsi" w:cs="Arial"/>
                <w:color w:val="000000"/>
                <w:lang w:val="en-GB"/>
              </w:rPr>
            </w:pPr>
            <w:r w:rsidRPr="002160E3">
              <w:rPr>
                <w:rFonts w:asciiTheme="minorHAnsi" w:hAnsiTheme="minorHAnsi" w:cs="Arial"/>
                <w:color w:val="000000"/>
                <w:lang w:val="en-GB"/>
              </w:rPr>
              <w:t>Mar 2012</w:t>
            </w:r>
          </w:p>
        </w:tc>
        <w:tc>
          <w:tcPr>
            <w:tcW w:w="1113" w:type="dxa"/>
            <w:tcBorders>
              <w:top w:val="nil"/>
              <w:left w:val="nil"/>
              <w:bottom w:val="single" w:sz="4" w:space="0" w:color="auto"/>
              <w:right w:val="single" w:sz="4" w:space="0" w:color="auto"/>
            </w:tcBorders>
            <w:shd w:val="clear" w:color="auto" w:fill="DBE5F1" w:themeFill="accent1" w:themeFillTint="33"/>
            <w:noWrap/>
            <w:vAlign w:val="center"/>
          </w:tcPr>
          <w:p w14:paraId="4A7EE1FB"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5,690.07</w:t>
            </w:r>
          </w:p>
        </w:tc>
        <w:tc>
          <w:tcPr>
            <w:tcW w:w="1191" w:type="dxa"/>
            <w:tcBorders>
              <w:top w:val="nil"/>
              <w:left w:val="nil"/>
              <w:bottom w:val="single" w:sz="4" w:space="0" w:color="auto"/>
              <w:right w:val="single" w:sz="4" w:space="0" w:color="auto"/>
            </w:tcBorders>
            <w:shd w:val="clear" w:color="auto" w:fill="DBE5F1" w:themeFill="accent1" w:themeFillTint="33"/>
            <w:noWrap/>
            <w:vAlign w:val="center"/>
          </w:tcPr>
          <w:p w14:paraId="00B0475C"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6,347.56</w:t>
            </w:r>
          </w:p>
        </w:tc>
        <w:tc>
          <w:tcPr>
            <w:tcW w:w="1444" w:type="dxa"/>
            <w:tcBorders>
              <w:top w:val="nil"/>
              <w:left w:val="nil"/>
              <w:bottom w:val="single" w:sz="4" w:space="0" w:color="auto"/>
              <w:right w:val="single" w:sz="4" w:space="0" w:color="auto"/>
            </w:tcBorders>
            <w:shd w:val="clear" w:color="auto" w:fill="DBE5F1" w:themeFill="accent1" w:themeFillTint="33"/>
            <w:noWrap/>
            <w:vAlign w:val="center"/>
          </w:tcPr>
          <w:p w14:paraId="05AE3A7D"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6,642.69</w:t>
            </w:r>
          </w:p>
        </w:tc>
        <w:tc>
          <w:tcPr>
            <w:tcW w:w="1121" w:type="dxa"/>
            <w:tcBorders>
              <w:top w:val="nil"/>
              <w:left w:val="nil"/>
              <w:bottom w:val="single" w:sz="4" w:space="0" w:color="auto"/>
              <w:right w:val="single" w:sz="4" w:space="0" w:color="auto"/>
            </w:tcBorders>
            <w:shd w:val="clear" w:color="auto" w:fill="DBE5F1" w:themeFill="accent1" w:themeFillTint="33"/>
            <w:noWrap/>
            <w:vAlign w:val="center"/>
          </w:tcPr>
          <w:p w14:paraId="08068B61"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2,639.81</w:t>
            </w:r>
          </w:p>
        </w:tc>
        <w:tc>
          <w:tcPr>
            <w:tcW w:w="1733" w:type="dxa"/>
            <w:tcBorders>
              <w:top w:val="nil"/>
              <w:left w:val="nil"/>
              <w:bottom w:val="single" w:sz="4" w:space="0" w:color="auto"/>
              <w:right w:val="single" w:sz="4" w:space="0" w:color="auto"/>
            </w:tcBorders>
            <w:shd w:val="clear" w:color="auto" w:fill="DBE5F1" w:themeFill="accent1" w:themeFillTint="33"/>
            <w:vAlign w:val="center"/>
          </w:tcPr>
          <w:p w14:paraId="7E1DCF87"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-0.09%</w:t>
            </w:r>
          </w:p>
        </w:tc>
      </w:tr>
      <w:tr w:rsidR="00BD6D9B" w:rsidRPr="002160E3" w14:paraId="327C982B" w14:textId="77777777" w:rsidTr="005D7C32">
        <w:trPr>
          <w:trHeight w:val="20"/>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5F0C7299" w14:textId="77777777" w:rsidR="00BD6D9B" w:rsidRPr="002160E3" w:rsidRDefault="00BD6D9B" w:rsidP="00812A3F">
            <w:pPr>
              <w:spacing w:after="0"/>
              <w:jc w:val="center"/>
              <w:rPr>
                <w:rFonts w:asciiTheme="minorHAnsi" w:hAnsiTheme="minorHAnsi" w:cs="Arial"/>
                <w:color w:val="000000"/>
                <w:lang w:val="en-GB"/>
              </w:rPr>
            </w:pPr>
            <w:r w:rsidRPr="002160E3">
              <w:rPr>
                <w:rFonts w:asciiTheme="minorHAnsi" w:hAnsiTheme="minorHAnsi" w:cs="Arial"/>
                <w:color w:val="000000"/>
                <w:lang w:val="en-GB"/>
              </w:rPr>
              <w:t>Dec 2011</w:t>
            </w:r>
          </w:p>
        </w:tc>
        <w:tc>
          <w:tcPr>
            <w:tcW w:w="1113" w:type="dxa"/>
            <w:tcBorders>
              <w:top w:val="nil"/>
              <w:left w:val="nil"/>
              <w:bottom w:val="single" w:sz="4" w:space="0" w:color="auto"/>
              <w:right w:val="single" w:sz="4" w:space="0" w:color="auto"/>
            </w:tcBorders>
            <w:shd w:val="clear" w:color="auto" w:fill="DBE5F1" w:themeFill="accent1" w:themeFillTint="33"/>
            <w:noWrap/>
            <w:vAlign w:val="center"/>
          </w:tcPr>
          <w:p w14:paraId="7B954BDE"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5,695.12</w:t>
            </w:r>
          </w:p>
        </w:tc>
        <w:tc>
          <w:tcPr>
            <w:tcW w:w="1191" w:type="dxa"/>
            <w:tcBorders>
              <w:top w:val="nil"/>
              <w:left w:val="nil"/>
              <w:bottom w:val="single" w:sz="4" w:space="0" w:color="auto"/>
              <w:right w:val="single" w:sz="4" w:space="0" w:color="auto"/>
            </w:tcBorders>
            <w:shd w:val="clear" w:color="auto" w:fill="DBE5F1" w:themeFill="accent1" w:themeFillTint="33"/>
            <w:noWrap/>
            <w:vAlign w:val="center"/>
          </w:tcPr>
          <w:p w14:paraId="298C8042"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5,958.75</w:t>
            </w:r>
          </w:p>
        </w:tc>
        <w:tc>
          <w:tcPr>
            <w:tcW w:w="1444" w:type="dxa"/>
            <w:tcBorders>
              <w:top w:val="nil"/>
              <w:left w:val="nil"/>
              <w:bottom w:val="single" w:sz="4" w:space="0" w:color="auto"/>
              <w:right w:val="single" w:sz="4" w:space="0" w:color="auto"/>
            </w:tcBorders>
            <w:shd w:val="clear" w:color="auto" w:fill="DBE5F1" w:themeFill="accent1" w:themeFillTint="33"/>
            <w:noWrap/>
            <w:vAlign w:val="center"/>
          </w:tcPr>
          <w:p w14:paraId="0E211A27"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6,385.67</w:t>
            </w:r>
          </w:p>
        </w:tc>
        <w:tc>
          <w:tcPr>
            <w:tcW w:w="1121" w:type="dxa"/>
            <w:tcBorders>
              <w:top w:val="nil"/>
              <w:left w:val="nil"/>
              <w:bottom w:val="single" w:sz="4" w:space="0" w:color="auto"/>
              <w:right w:val="single" w:sz="4" w:space="0" w:color="auto"/>
            </w:tcBorders>
            <w:shd w:val="clear" w:color="auto" w:fill="DBE5F1" w:themeFill="accent1" w:themeFillTint="33"/>
            <w:noWrap/>
            <w:vAlign w:val="center"/>
          </w:tcPr>
          <w:p w14:paraId="26F50A29"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2,567.28</w:t>
            </w:r>
          </w:p>
        </w:tc>
        <w:tc>
          <w:tcPr>
            <w:tcW w:w="1733" w:type="dxa"/>
            <w:tcBorders>
              <w:top w:val="nil"/>
              <w:left w:val="nil"/>
              <w:bottom w:val="single" w:sz="4" w:space="0" w:color="auto"/>
              <w:right w:val="single" w:sz="4" w:space="0" w:color="auto"/>
            </w:tcBorders>
            <w:shd w:val="clear" w:color="auto" w:fill="DBE5F1" w:themeFill="accent1" w:themeFillTint="33"/>
            <w:vAlign w:val="center"/>
          </w:tcPr>
          <w:p w14:paraId="21937F05"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-15.69%</w:t>
            </w:r>
          </w:p>
        </w:tc>
      </w:tr>
      <w:tr w:rsidR="00BD6D9B" w:rsidRPr="002160E3" w14:paraId="6D9189A2" w14:textId="77777777" w:rsidTr="005D7C32">
        <w:trPr>
          <w:trHeight w:val="20"/>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70E669AF" w14:textId="77777777" w:rsidR="00BD6D9B" w:rsidRPr="002160E3" w:rsidRDefault="00BD6D9B" w:rsidP="00812A3F">
            <w:pPr>
              <w:spacing w:after="0"/>
              <w:jc w:val="center"/>
              <w:rPr>
                <w:rFonts w:asciiTheme="minorHAnsi" w:hAnsiTheme="minorHAnsi" w:cs="Arial"/>
                <w:color w:val="000000"/>
                <w:lang w:val="en-GB"/>
              </w:rPr>
            </w:pPr>
            <w:r w:rsidRPr="002160E3">
              <w:rPr>
                <w:rFonts w:asciiTheme="minorHAnsi" w:hAnsiTheme="minorHAnsi" w:cs="Arial"/>
                <w:color w:val="000000"/>
                <w:lang w:val="en-GB"/>
              </w:rPr>
              <w:t>Dec 2010</w:t>
            </w:r>
          </w:p>
        </w:tc>
        <w:tc>
          <w:tcPr>
            <w:tcW w:w="1113" w:type="dxa"/>
            <w:tcBorders>
              <w:top w:val="nil"/>
              <w:left w:val="nil"/>
              <w:bottom w:val="single" w:sz="4" w:space="0" w:color="auto"/>
              <w:right w:val="single" w:sz="4" w:space="0" w:color="auto"/>
            </w:tcBorders>
            <w:shd w:val="clear" w:color="auto" w:fill="DBE5F1" w:themeFill="accent1" w:themeFillTint="33"/>
            <w:noWrap/>
            <w:vAlign w:val="center"/>
          </w:tcPr>
          <w:p w14:paraId="52714407"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6,754.92</w:t>
            </w:r>
          </w:p>
        </w:tc>
        <w:tc>
          <w:tcPr>
            <w:tcW w:w="1191" w:type="dxa"/>
            <w:tcBorders>
              <w:top w:val="nil"/>
              <w:left w:val="nil"/>
              <w:bottom w:val="single" w:sz="4" w:space="0" w:color="auto"/>
              <w:right w:val="single" w:sz="4" w:space="0" w:color="auto"/>
            </w:tcBorders>
            <w:shd w:val="clear" w:color="auto" w:fill="DBE5F1" w:themeFill="accent1" w:themeFillTint="33"/>
            <w:noWrap/>
            <w:vAlign w:val="center"/>
          </w:tcPr>
          <w:p w14:paraId="5E4B9822"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7,306.48</w:t>
            </w:r>
          </w:p>
        </w:tc>
        <w:tc>
          <w:tcPr>
            <w:tcW w:w="1444" w:type="dxa"/>
            <w:tcBorders>
              <w:top w:val="nil"/>
              <w:left w:val="nil"/>
              <w:bottom w:val="single" w:sz="4" w:space="0" w:color="auto"/>
              <w:right w:val="single" w:sz="4" w:space="0" w:color="auto"/>
            </w:tcBorders>
            <w:shd w:val="clear" w:color="auto" w:fill="DBE5F1" w:themeFill="accent1" w:themeFillTint="33"/>
            <w:noWrap/>
            <w:vAlign w:val="center"/>
          </w:tcPr>
          <w:p w14:paraId="15183728"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8,319.73</w:t>
            </w:r>
          </w:p>
        </w:tc>
        <w:tc>
          <w:tcPr>
            <w:tcW w:w="1121" w:type="dxa"/>
            <w:tcBorders>
              <w:top w:val="nil"/>
              <w:left w:val="nil"/>
              <w:bottom w:val="single" w:sz="4" w:space="0" w:color="auto"/>
              <w:right w:val="single" w:sz="4" w:space="0" w:color="auto"/>
            </w:tcBorders>
            <w:shd w:val="clear" w:color="auto" w:fill="DBE5F1" w:themeFill="accent1" w:themeFillTint="33"/>
            <w:noWrap/>
            <w:vAlign w:val="center"/>
          </w:tcPr>
          <w:p w14:paraId="5D08B519"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2,705.72</w:t>
            </w:r>
          </w:p>
        </w:tc>
        <w:tc>
          <w:tcPr>
            <w:tcW w:w="1733" w:type="dxa"/>
            <w:tcBorders>
              <w:top w:val="nil"/>
              <w:left w:val="nil"/>
              <w:bottom w:val="single" w:sz="4" w:space="0" w:color="auto"/>
              <w:right w:val="single" w:sz="4" w:space="0" w:color="auto"/>
            </w:tcBorders>
            <w:shd w:val="clear" w:color="auto" w:fill="DBE5F1" w:themeFill="accent1" w:themeFillTint="33"/>
            <w:vAlign w:val="center"/>
          </w:tcPr>
          <w:p w14:paraId="3218696F"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6.06%</w:t>
            </w:r>
          </w:p>
        </w:tc>
      </w:tr>
      <w:tr w:rsidR="00BD6D9B" w:rsidRPr="002160E3" w14:paraId="08D6BA4C" w14:textId="77777777" w:rsidTr="005D7C32">
        <w:trPr>
          <w:trHeight w:val="20"/>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035A028B" w14:textId="77777777" w:rsidR="00BD6D9B" w:rsidRPr="002160E3" w:rsidRDefault="00BD6D9B" w:rsidP="00812A3F">
            <w:pPr>
              <w:spacing w:after="0"/>
              <w:jc w:val="center"/>
              <w:rPr>
                <w:rFonts w:asciiTheme="minorHAnsi" w:hAnsiTheme="minorHAnsi" w:cs="Arial"/>
                <w:color w:val="000000"/>
                <w:lang w:val="en-GB"/>
              </w:rPr>
            </w:pPr>
            <w:r w:rsidRPr="002160E3">
              <w:rPr>
                <w:rFonts w:asciiTheme="minorHAnsi" w:hAnsiTheme="minorHAnsi" w:cs="Arial"/>
                <w:color w:val="000000"/>
                <w:lang w:val="en-GB"/>
              </w:rPr>
              <w:t>Dec 2009</w:t>
            </w:r>
          </w:p>
        </w:tc>
        <w:tc>
          <w:tcPr>
            <w:tcW w:w="1113" w:type="dxa"/>
            <w:tcBorders>
              <w:top w:val="nil"/>
              <w:left w:val="nil"/>
              <w:bottom w:val="single" w:sz="4" w:space="0" w:color="auto"/>
              <w:right w:val="single" w:sz="4" w:space="0" w:color="auto"/>
            </w:tcBorders>
            <w:shd w:val="clear" w:color="auto" w:fill="DBE5F1" w:themeFill="accent1" w:themeFillTint="33"/>
            <w:noWrap/>
            <w:vAlign w:val="center"/>
          </w:tcPr>
          <w:p w14:paraId="2F20372F"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6,368.80</w:t>
            </w:r>
          </w:p>
        </w:tc>
        <w:tc>
          <w:tcPr>
            <w:tcW w:w="1191" w:type="dxa"/>
            <w:tcBorders>
              <w:top w:val="nil"/>
              <w:left w:val="nil"/>
              <w:bottom w:val="single" w:sz="4" w:space="0" w:color="auto"/>
              <w:right w:val="single" w:sz="4" w:space="0" w:color="auto"/>
            </w:tcBorders>
            <w:shd w:val="clear" w:color="auto" w:fill="DBE5F1" w:themeFill="accent1" w:themeFillTint="33"/>
            <w:noWrap/>
            <w:vAlign w:val="center"/>
          </w:tcPr>
          <w:p w14:paraId="01F1D1C2"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7,446.79</w:t>
            </w:r>
          </w:p>
        </w:tc>
        <w:tc>
          <w:tcPr>
            <w:tcW w:w="1444" w:type="dxa"/>
            <w:tcBorders>
              <w:top w:val="nil"/>
              <w:left w:val="nil"/>
              <w:bottom w:val="single" w:sz="4" w:space="0" w:color="auto"/>
              <w:right w:val="single" w:sz="4" w:space="0" w:color="auto"/>
            </w:tcBorders>
            <w:shd w:val="clear" w:color="auto" w:fill="DBE5F1" w:themeFill="accent1" w:themeFillTint="33"/>
            <w:noWrap/>
            <w:vAlign w:val="center"/>
          </w:tcPr>
          <w:p w14:paraId="35089E20"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9,374.73</w:t>
            </w:r>
          </w:p>
        </w:tc>
        <w:tc>
          <w:tcPr>
            <w:tcW w:w="1121" w:type="dxa"/>
            <w:tcBorders>
              <w:top w:val="nil"/>
              <w:left w:val="nil"/>
              <w:bottom w:val="single" w:sz="4" w:space="0" w:color="auto"/>
              <w:right w:val="single" w:sz="4" w:space="0" w:color="auto"/>
            </w:tcBorders>
            <w:shd w:val="clear" w:color="auto" w:fill="DBE5F1" w:themeFill="accent1" w:themeFillTint="33"/>
            <w:noWrap/>
            <w:vAlign w:val="center"/>
          </w:tcPr>
          <w:p w14:paraId="26A6F045"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2,701.95</w:t>
            </w:r>
          </w:p>
        </w:tc>
        <w:tc>
          <w:tcPr>
            <w:tcW w:w="1733" w:type="dxa"/>
            <w:tcBorders>
              <w:top w:val="nil"/>
              <w:left w:val="nil"/>
              <w:bottom w:val="single" w:sz="4" w:space="0" w:color="auto"/>
              <w:right w:val="single" w:sz="4" w:space="0" w:color="auto"/>
            </w:tcBorders>
            <w:shd w:val="clear" w:color="auto" w:fill="DBE5F1" w:themeFill="accent1" w:themeFillTint="33"/>
            <w:vAlign w:val="center"/>
          </w:tcPr>
          <w:p w14:paraId="6D5C4BD9"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17.05%</w:t>
            </w:r>
          </w:p>
        </w:tc>
      </w:tr>
      <w:tr w:rsidR="00BD6D9B" w:rsidRPr="002160E3" w14:paraId="2CABF94C" w14:textId="77777777" w:rsidTr="005D7C32">
        <w:trPr>
          <w:trHeight w:val="144"/>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30B5AFD4" w14:textId="77777777" w:rsidR="00BD6D9B" w:rsidRPr="002160E3" w:rsidRDefault="00BD6D9B" w:rsidP="00812A3F">
            <w:pPr>
              <w:spacing w:after="0"/>
              <w:jc w:val="center"/>
              <w:rPr>
                <w:rFonts w:asciiTheme="minorHAnsi" w:hAnsiTheme="minorHAnsi" w:cs="Arial"/>
                <w:color w:val="000000"/>
                <w:lang w:val="en-GB"/>
              </w:rPr>
            </w:pPr>
            <w:r w:rsidRPr="002160E3">
              <w:rPr>
                <w:rFonts w:asciiTheme="minorHAnsi" w:hAnsiTheme="minorHAnsi" w:cs="Arial"/>
                <w:color w:val="000000"/>
                <w:lang w:val="en-GB"/>
              </w:rPr>
              <w:t>Dec 2008</w:t>
            </w:r>
          </w:p>
        </w:tc>
        <w:tc>
          <w:tcPr>
            <w:tcW w:w="1113" w:type="dxa"/>
            <w:tcBorders>
              <w:top w:val="nil"/>
              <w:left w:val="nil"/>
              <w:bottom w:val="single" w:sz="4" w:space="0" w:color="auto"/>
              <w:right w:val="single" w:sz="4" w:space="0" w:color="auto"/>
            </w:tcBorders>
            <w:shd w:val="clear" w:color="auto" w:fill="DBE5F1" w:themeFill="accent1" w:themeFillTint="33"/>
            <w:noWrap/>
            <w:vAlign w:val="center"/>
          </w:tcPr>
          <w:p w14:paraId="45273706"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5,441.12</w:t>
            </w:r>
          </w:p>
        </w:tc>
        <w:tc>
          <w:tcPr>
            <w:tcW w:w="1191" w:type="dxa"/>
            <w:tcBorders>
              <w:top w:val="nil"/>
              <w:left w:val="nil"/>
              <w:bottom w:val="single" w:sz="4" w:space="0" w:color="auto"/>
              <w:right w:val="single" w:sz="4" w:space="0" w:color="auto"/>
            </w:tcBorders>
            <w:shd w:val="clear" w:color="auto" w:fill="DBE5F1" w:themeFill="accent1" w:themeFillTint="33"/>
            <w:noWrap/>
            <w:vAlign w:val="center"/>
          </w:tcPr>
          <w:p w14:paraId="0C76C74F"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4,321.64</w:t>
            </w:r>
          </w:p>
        </w:tc>
        <w:tc>
          <w:tcPr>
            <w:tcW w:w="1444" w:type="dxa"/>
            <w:tcBorders>
              <w:top w:val="nil"/>
              <w:left w:val="nil"/>
              <w:bottom w:val="single" w:sz="4" w:space="0" w:color="auto"/>
              <w:right w:val="single" w:sz="4" w:space="0" w:color="auto"/>
            </w:tcBorders>
            <w:shd w:val="clear" w:color="auto" w:fill="DBE5F1" w:themeFill="accent1" w:themeFillTint="33"/>
            <w:noWrap/>
            <w:vAlign w:val="center"/>
          </w:tcPr>
          <w:p w14:paraId="43C8EB47"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6,620.92</w:t>
            </w:r>
          </w:p>
        </w:tc>
        <w:tc>
          <w:tcPr>
            <w:tcW w:w="1121" w:type="dxa"/>
            <w:tcBorders>
              <w:top w:val="nil"/>
              <w:left w:val="nil"/>
              <w:bottom w:val="single" w:sz="4" w:space="0" w:color="auto"/>
              <w:right w:val="single" w:sz="4" w:space="0" w:color="auto"/>
            </w:tcBorders>
            <w:shd w:val="clear" w:color="auto" w:fill="DBE5F1" w:themeFill="accent1" w:themeFillTint="33"/>
            <w:noWrap/>
            <w:vAlign w:val="center"/>
          </w:tcPr>
          <w:p w14:paraId="0DF6EADF"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2,527.87</w:t>
            </w:r>
          </w:p>
        </w:tc>
        <w:tc>
          <w:tcPr>
            <w:tcW w:w="1733" w:type="dxa"/>
            <w:tcBorders>
              <w:top w:val="nil"/>
              <w:left w:val="nil"/>
              <w:bottom w:val="single" w:sz="4" w:space="0" w:color="auto"/>
              <w:right w:val="single" w:sz="4" w:space="0" w:color="auto"/>
            </w:tcBorders>
            <w:shd w:val="clear" w:color="auto" w:fill="DBE5F1" w:themeFill="accent1" w:themeFillTint="33"/>
            <w:vAlign w:val="center"/>
          </w:tcPr>
          <w:p w14:paraId="549D2BF3"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-39.78%</w:t>
            </w:r>
          </w:p>
        </w:tc>
      </w:tr>
      <w:tr w:rsidR="00BD6D9B" w:rsidRPr="002160E3" w14:paraId="3640021B" w14:textId="77777777" w:rsidTr="00FB77D1">
        <w:trPr>
          <w:trHeight w:val="20"/>
          <w:jc w:val="center"/>
        </w:trPr>
        <w:tc>
          <w:tcPr>
            <w:tcW w:w="2895"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5C87A14A" w14:textId="77777777" w:rsidR="00BD6D9B" w:rsidRPr="002160E3" w:rsidRDefault="00BD6D9B" w:rsidP="00812A3F">
            <w:pPr>
              <w:spacing w:after="0"/>
              <w:jc w:val="center"/>
              <w:rPr>
                <w:rFonts w:asciiTheme="minorHAnsi" w:hAnsiTheme="minorHAnsi" w:cs="Arial"/>
                <w:color w:val="000000"/>
                <w:lang w:val="en-GB"/>
              </w:rPr>
            </w:pPr>
            <w:r w:rsidRPr="002160E3">
              <w:rPr>
                <w:rFonts w:asciiTheme="minorHAnsi" w:hAnsiTheme="minorHAnsi" w:cs="Arial"/>
                <w:color w:val="000000"/>
                <w:lang w:val="en-GB"/>
              </w:rPr>
              <w:t>Dec 2007</w:t>
            </w:r>
          </w:p>
        </w:tc>
        <w:tc>
          <w:tcPr>
            <w:tcW w:w="1113" w:type="dxa"/>
            <w:tcBorders>
              <w:top w:val="nil"/>
              <w:left w:val="nil"/>
              <w:bottom w:val="single" w:sz="4" w:space="0" w:color="auto"/>
              <w:right w:val="single" w:sz="4" w:space="0" w:color="auto"/>
            </w:tcBorders>
            <w:shd w:val="clear" w:color="auto" w:fill="DBE5F1" w:themeFill="accent1" w:themeFillTint="33"/>
            <w:noWrap/>
            <w:vAlign w:val="center"/>
          </w:tcPr>
          <w:p w14:paraId="5A437510"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9,035.48</w:t>
            </w:r>
          </w:p>
        </w:tc>
        <w:tc>
          <w:tcPr>
            <w:tcW w:w="1191" w:type="dxa"/>
            <w:tcBorders>
              <w:top w:val="nil"/>
              <w:left w:val="nil"/>
              <w:bottom w:val="single" w:sz="4" w:space="0" w:color="auto"/>
              <w:right w:val="single" w:sz="4" w:space="0" w:color="auto"/>
            </w:tcBorders>
            <w:shd w:val="clear" w:color="auto" w:fill="DBE5F1" w:themeFill="accent1" w:themeFillTint="33"/>
            <w:noWrap/>
            <w:vAlign w:val="center"/>
          </w:tcPr>
          <w:p w14:paraId="68EED734"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8,137.06</w:t>
            </w:r>
          </w:p>
        </w:tc>
        <w:tc>
          <w:tcPr>
            <w:tcW w:w="1444" w:type="dxa"/>
            <w:tcBorders>
              <w:top w:val="nil"/>
              <w:left w:val="nil"/>
              <w:bottom w:val="single" w:sz="4" w:space="0" w:color="auto"/>
              <w:right w:val="single" w:sz="4" w:space="0" w:color="auto"/>
            </w:tcBorders>
            <w:shd w:val="clear" w:color="auto" w:fill="DBE5F1" w:themeFill="accent1" w:themeFillTint="33"/>
            <w:noWrap/>
            <w:vAlign w:val="center"/>
          </w:tcPr>
          <w:p w14:paraId="2DC2D16A"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12,312.8</w:t>
            </w:r>
          </w:p>
        </w:tc>
        <w:tc>
          <w:tcPr>
            <w:tcW w:w="1121" w:type="dxa"/>
            <w:tcBorders>
              <w:top w:val="nil"/>
              <w:left w:val="nil"/>
              <w:bottom w:val="single" w:sz="4" w:space="0" w:color="auto"/>
              <w:right w:val="single" w:sz="4" w:space="0" w:color="auto"/>
            </w:tcBorders>
            <w:shd w:val="clear" w:color="auto" w:fill="DBE5F1" w:themeFill="accent1" w:themeFillTint="33"/>
            <w:noWrap/>
            <w:vAlign w:val="center"/>
          </w:tcPr>
          <w:p w14:paraId="25E89C16"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3,533.14</w:t>
            </w:r>
          </w:p>
        </w:tc>
        <w:tc>
          <w:tcPr>
            <w:tcW w:w="1733" w:type="dxa"/>
            <w:tcBorders>
              <w:top w:val="nil"/>
              <w:left w:val="nil"/>
              <w:bottom w:val="single" w:sz="4" w:space="0" w:color="auto"/>
              <w:right w:val="single" w:sz="4" w:space="0" w:color="auto"/>
            </w:tcBorders>
            <w:shd w:val="clear" w:color="auto" w:fill="DBE5F1" w:themeFill="accent1" w:themeFillTint="33"/>
            <w:noWrap/>
            <w:vAlign w:val="center"/>
          </w:tcPr>
          <w:p w14:paraId="67B8C3E4" w14:textId="77777777" w:rsidR="00BD6D9B" w:rsidRPr="002160E3" w:rsidRDefault="00BD6D9B" w:rsidP="00812A3F">
            <w:pPr>
              <w:spacing w:after="0"/>
              <w:jc w:val="right"/>
              <w:rPr>
                <w:rFonts w:asciiTheme="minorHAnsi" w:hAnsiTheme="minorHAnsi" w:cs="Arial"/>
                <w:color w:val="000000"/>
                <w:lang w:val="en-GB"/>
              </w:rPr>
            </w:pPr>
            <w:r w:rsidRPr="002160E3">
              <w:rPr>
                <w:rFonts w:asciiTheme="minorHAnsi" w:hAnsiTheme="minorHAnsi" w:cs="Arial"/>
                <w:color w:val="000000"/>
                <w:lang w:val="en-GB"/>
              </w:rPr>
              <w:t>61.88%</w:t>
            </w:r>
          </w:p>
        </w:tc>
      </w:tr>
      <w:tr w:rsidR="00F1657A" w:rsidRPr="002160E3" w14:paraId="24E07CFD" w14:textId="77777777" w:rsidTr="005D7C32">
        <w:trPr>
          <w:trHeight w:val="464"/>
          <w:jc w:val="center"/>
        </w:trPr>
        <w:tc>
          <w:tcPr>
            <w:tcW w:w="2895"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09D9E73" w14:textId="77777777" w:rsidR="00F1657A" w:rsidRPr="002160E3" w:rsidRDefault="00F1657A" w:rsidP="00A57431">
            <w:pPr>
              <w:spacing w:after="0"/>
              <w:jc w:val="center"/>
              <w:rPr>
                <w:rFonts w:asciiTheme="minorHAnsi" w:hAnsiTheme="minorHAnsi" w:cs="Arial"/>
                <w:color w:val="000000"/>
                <w:lang w:val="en-GB"/>
              </w:rPr>
            </w:pPr>
            <w:r w:rsidRPr="002160E3">
              <w:rPr>
                <w:rFonts w:asciiTheme="minorHAnsi" w:hAnsiTheme="minorHAnsi" w:cs="Arial"/>
                <w:color w:val="000000"/>
                <w:lang w:val="en-GB"/>
              </w:rPr>
              <w:t>No. of Stocks Included in the Indices</w:t>
            </w:r>
          </w:p>
        </w:tc>
        <w:tc>
          <w:tcPr>
            <w:tcW w:w="1113"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9D4770C" w14:textId="77777777" w:rsidR="00F1657A" w:rsidRPr="002160E3" w:rsidRDefault="00F1657A" w:rsidP="00A57431">
            <w:pPr>
              <w:spacing w:after="0"/>
              <w:jc w:val="center"/>
              <w:rPr>
                <w:rFonts w:asciiTheme="minorHAnsi" w:hAnsiTheme="minorHAnsi" w:cs="Arial"/>
                <w:color w:val="000000"/>
                <w:lang w:val="en-GB"/>
              </w:rPr>
            </w:pPr>
            <w:r w:rsidRPr="002160E3">
              <w:rPr>
                <w:rFonts w:asciiTheme="minorHAnsi" w:hAnsiTheme="minorHAnsi" w:cs="Arial"/>
                <w:color w:val="000000"/>
                <w:lang w:val="en-GB"/>
              </w:rPr>
              <w:t>30</w:t>
            </w:r>
          </w:p>
        </w:tc>
        <w:tc>
          <w:tcPr>
            <w:tcW w:w="119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6E7D5F5" w14:textId="77777777" w:rsidR="00F1657A" w:rsidRPr="002160E3" w:rsidRDefault="00AA2D9A" w:rsidP="00A57431">
            <w:pPr>
              <w:spacing w:after="0"/>
              <w:jc w:val="center"/>
              <w:rPr>
                <w:rFonts w:asciiTheme="minorHAnsi" w:hAnsiTheme="minorHAnsi" w:cs="Arial"/>
                <w:color w:val="000000"/>
                <w:lang w:val="en-GB"/>
              </w:rPr>
            </w:pPr>
            <w:r w:rsidRPr="002160E3">
              <w:rPr>
                <w:rFonts w:asciiTheme="minorHAnsi" w:hAnsiTheme="minorHAnsi" w:cs="Arial"/>
                <w:color w:val="000000"/>
                <w:lang w:val="en-GB"/>
              </w:rPr>
              <w:t>7</w:t>
            </w:r>
          </w:p>
        </w:tc>
        <w:tc>
          <w:tcPr>
            <w:tcW w:w="1444"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7080699" w14:textId="77777777" w:rsidR="00F1657A" w:rsidRPr="002160E3" w:rsidRDefault="00AA2D9A" w:rsidP="00A57431">
            <w:pPr>
              <w:spacing w:after="0"/>
              <w:jc w:val="center"/>
              <w:rPr>
                <w:rFonts w:asciiTheme="minorHAnsi" w:hAnsiTheme="minorHAnsi" w:cs="Arial"/>
                <w:color w:val="000000"/>
                <w:lang w:val="en-GB"/>
              </w:rPr>
            </w:pPr>
            <w:r w:rsidRPr="002160E3">
              <w:rPr>
                <w:rFonts w:asciiTheme="minorHAnsi" w:hAnsiTheme="minorHAnsi" w:cs="Arial"/>
                <w:color w:val="000000"/>
                <w:lang w:val="en-GB"/>
              </w:rPr>
              <w:t>16</w:t>
            </w:r>
          </w:p>
        </w:tc>
        <w:tc>
          <w:tcPr>
            <w:tcW w:w="112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9F1F951" w14:textId="77777777" w:rsidR="00F1657A" w:rsidRPr="002160E3" w:rsidRDefault="00AA2D9A" w:rsidP="00A57431">
            <w:pPr>
              <w:spacing w:after="0"/>
              <w:jc w:val="center"/>
              <w:rPr>
                <w:rFonts w:asciiTheme="minorHAnsi" w:hAnsiTheme="minorHAnsi" w:cs="Arial"/>
                <w:color w:val="000000"/>
                <w:lang w:val="en-GB"/>
              </w:rPr>
            </w:pPr>
            <w:r w:rsidRPr="002160E3">
              <w:rPr>
                <w:rFonts w:asciiTheme="minorHAnsi" w:hAnsiTheme="minorHAnsi" w:cs="Arial"/>
                <w:color w:val="000000"/>
                <w:lang w:val="en-GB"/>
              </w:rPr>
              <w:t>7</w:t>
            </w:r>
          </w:p>
        </w:tc>
        <w:tc>
          <w:tcPr>
            <w:tcW w:w="1733"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2F67B2E" w14:textId="77777777" w:rsidR="00F1657A" w:rsidRPr="002160E3" w:rsidRDefault="00F1657A" w:rsidP="00A57431">
            <w:pPr>
              <w:spacing w:after="0"/>
              <w:jc w:val="center"/>
              <w:rPr>
                <w:rFonts w:asciiTheme="minorHAnsi" w:hAnsiTheme="minorHAnsi" w:cs="Arial"/>
                <w:color w:val="000000"/>
                <w:lang w:val="en-GB"/>
              </w:rPr>
            </w:pPr>
          </w:p>
        </w:tc>
      </w:tr>
      <w:tr w:rsidR="00F1657A" w:rsidRPr="002160E3" w14:paraId="528B3D05" w14:textId="77777777" w:rsidTr="005D7C32">
        <w:trPr>
          <w:trHeight w:val="276"/>
          <w:jc w:val="center"/>
        </w:trPr>
        <w:tc>
          <w:tcPr>
            <w:tcW w:w="2895"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327B141" w14:textId="77777777" w:rsidR="00F1657A" w:rsidRPr="002160E3" w:rsidRDefault="00F1657A" w:rsidP="00E72F6E">
            <w:pPr>
              <w:spacing w:after="0" w:line="240" w:lineRule="auto"/>
              <w:jc w:val="both"/>
              <w:rPr>
                <w:rFonts w:asciiTheme="minorHAnsi" w:eastAsia="Times New Roman" w:hAnsiTheme="minorHAnsi" w:cs="Arial"/>
                <w:lang w:val="en-GB"/>
              </w:rPr>
            </w:pPr>
          </w:p>
        </w:tc>
        <w:tc>
          <w:tcPr>
            <w:tcW w:w="1113"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4C7DF0F" w14:textId="77777777" w:rsidR="00F1657A" w:rsidRPr="002160E3" w:rsidRDefault="00F1657A" w:rsidP="00E72F6E">
            <w:pPr>
              <w:spacing w:after="0" w:line="240" w:lineRule="auto"/>
              <w:jc w:val="both"/>
              <w:rPr>
                <w:rFonts w:asciiTheme="minorHAnsi" w:eastAsia="Times New Roman" w:hAnsiTheme="minorHAnsi" w:cs="Arial"/>
                <w:lang w:val="en-GB"/>
              </w:rPr>
            </w:pPr>
          </w:p>
        </w:tc>
        <w:tc>
          <w:tcPr>
            <w:tcW w:w="119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2C5111F" w14:textId="77777777" w:rsidR="00F1657A" w:rsidRPr="002160E3" w:rsidRDefault="00F1657A" w:rsidP="00E72F6E">
            <w:pPr>
              <w:spacing w:after="0" w:line="240" w:lineRule="auto"/>
              <w:jc w:val="both"/>
              <w:rPr>
                <w:rFonts w:asciiTheme="minorHAnsi" w:eastAsia="Times New Roman" w:hAnsiTheme="minorHAnsi" w:cs="Arial"/>
                <w:lang w:val="en-GB"/>
              </w:rPr>
            </w:pPr>
          </w:p>
        </w:tc>
        <w:tc>
          <w:tcPr>
            <w:tcW w:w="1444"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D2EC7D4" w14:textId="77777777" w:rsidR="00F1657A" w:rsidRPr="002160E3" w:rsidRDefault="00F1657A" w:rsidP="00E72F6E">
            <w:pPr>
              <w:spacing w:after="0" w:line="240" w:lineRule="auto"/>
              <w:jc w:val="both"/>
              <w:rPr>
                <w:rFonts w:asciiTheme="minorHAnsi" w:eastAsia="Times New Roman" w:hAnsiTheme="minorHAnsi" w:cs="Arial"/>
                <w:lang w:val="en-GB"/>
              </w:rPr>
            </w:pPr>
          </w:p>
        </w:tc>
        <w:tc>
          <w:tcPr>
            <w:tcW w:w="112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6B4C357" w14:textId="77777777" w:rsidR="00F1657A" w:rsidRPr="002160E3" w:rsidRDefault="00F1657A" w:rsidP="00E72F6E">
            <w:pPr>
              <w:spacing w:after="0" w:line="240" w:lineRule="auto"/>
              <w:jc w:val="both"/>
              <w:rPr>
                <w:rFonts w:asciiTheme="minorHAnsi" w:eastAsia="Times New Roman" w:hAnsiTheme="minorHAnsi" w:cs="Arial"/>
                <w:lang w:val="en-GB"/>
              </w:rPr>
            </w:pPr>
          </w:p>
        </w:tc>
        <w:tc>
          <w:tcPr>
            <w:tcW w:w="1733"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FB6CAB4" w14:textId="77777777" w:rsidR="00F1657A" w:rsidRPr="002160E3" w:rsidRDefault="00F1657A" w:rsidP="00E72F6E">
            <w:pPr>
              <w:spacing w:after="0" w:line="240" w:lineRule="auto"/>
              <w:jc w:val="both"/>
              <w:rPr>
                <w:rFonts w:asciiTheme="minorHAnsi" w:eastAsia="Times New Roman" w:hAnsiTheme="minorHAnsi" w:cs="Arial"/>
                <w:lang w:val="en-GB"/>
              </w:rPr>
            </w:pPr>
          </w:p>
        </w:tc>
      </w:tr>
    </w:tbl>
    <w:p w14:paraId="42B0DCBB" w14:textId="77777777" w:rsidR="007E06C1" w:rsidRPr="002160E3" w:rsidRDefault="007E06C1" w:rsidP="00E72F6E">
      <w:pPr>
        <w:pStyle w:val="ListParagraph"/>
        <w:jc w:val="both"/>
        <w:rPr>
          <w:rFonts w:asciiTheme="minorHAnsi" w:hAnsiTheme="minorHAnsi"/>
          <w:i/>
          <w:lang w:val="en-GB"/>
        </w:rPr>
      </w:pPr>
      <w:r w:rsidRPr="002160E3">
        <w:rPr>
          <w:rFonts w:asciiTheme="minorHAnsi" w:hAnsiTheme="minorHAnsi"/>
          <w:i/>
          <w:lang w:val="en-GB"/>
        </w:rPr>
        <w:t>(Source: MSM Investors Guides)</w:t>
      </w:r>
    </w:p>
    <w:p w14:paraId="1610CBB3" w14:textId="77777777" w:rsidR="00E742D5" w:rsidRPr="002160E3" w:rsidRDefault="00DB3931" w:rsidP="00E730D3">
      <w:pPr>
        <w:jc w:val="both"/>
        <w:rPr>
          <w:rFonts w:asciiTheme="minorHAnsi" w:hAnsiTheme="minorHAnsi"/>
          <w:b/>
          <w:lang w:val="en-GB"/>
        </w:rPr>
      </w:pPr>
      <w:r w:rsidRPr="002160E3">
        <w:rPr>
          <w:rFonts w:asciiTheme="minorHAnsi" w:hAnsiTheme="minorHAnsi"/>
          <w:lang w:val="en-GB"/>
        </w:rPr>
        <w:t xml:space="preserve">The </w:t>
      </w:r>
      <w:r w:rsidR="00F717B3" w:rsidRPr="002160E3">
        <w:rPr>
          <w:rFonts w:asciiTheme="minorHAnsi" w:hAnsiTheme="minorHAnsi"/>
          <w:lang w:val="en-GB"/>
        </w:rPr>
        <w:t>trading activity</w:t>
      </w:r>
      <w:r w:rsidRPr="002160E3">
        <w:rPr>
          <w:rFonts w:asciiTheme="minorHAnsi" w:hAnsiTheme="minorHAnsi"/>
          <w:lang w:val="en-GB"/>
        </w:rPr>
        <w:t xml:space="preserve"> </w:t>
      </w:r>
      <w:r w:rsidR="00F717B3" w:rsidRPr="002160E3">
        <w:rPr>
          <w:rFonts w:asciiTheme="minorHAnsi" w:hAnsiTheme="minorHAnsi"/>
          <w:lang w:val="en-GB"/>
        </w:rPr>
        <w:t>on</w:t>
      </w:r>
      <w:r w:rsidRPr="002160E3">
        <w:rPr>
          <w:rFonts w:asciiTheme="minorHAnsi" w:hAnsiTheme="minorHAnsi"/>
          <w:lang w:val="en-GB"/>
        </w:rPr>
        <w:t xml:space="preserve"> MSM Index was</w:t>
      </w:r>
      <w:r w:rsidR="00F717B3" w:rsidRPr="002160E3">
        <w:rPr>
          <w:rFonts w:asciiTheme="minorHAnsi" w:hAnsiTheme="minorHAnsi"/>
          <w:lang w:val="en-GB"/>
        </w:rPr>
        <w:t xml:space="preserve"> subdued with a 39.7% fall in</w:t>
      </w:r>
      <w:r w:rsidRPr="002160E3">
        <w:rPr>
          <w:rFonts w:asciiTheme="minorHAnsi" w:hAnsiTheme="minorHAnsi"/>
          <w:lang w:val="en-GB"/>
        </w:rPr>
        <w:t xml:space="preserve"> average daily traded value for 201</w:t>
      </w:r>
      <w:r w:rsidR="00BD6D9B" w:rsidRPr="002160E3">
        <w:rPr>
          <w:rFonts w:asciiTheme="minorHAnsi" w:hAnsiTheme="minorHAnsi"/>
          <w:lang w:val="en-GB"/>
        </w:rPr>
        <w:t>5</w:t>
      </w:r>
      <w:r w:rsidRPr="002160E3">
        <w:rPr>
          <w:rFonts w:asciiTheme="minorHAnsi" w:hAnsiTheme="minorHAnsi"/>
          <w:lang w:val="en-GB"/>
        </w:rPr>
        <w:t xml:space="preserve"> at RO </w:t>
      </w:r>
      <w:r w:rsidR="00F717B3" w:rsidRPr="002160E3">
        <w:rPr>
          <w:rFonts w:asciiTheme="minorHAnsi" w:hAnsiTheme="minorHAnsi"/>
          <w:lang w:val="en-GB"/>
        </w:rPr>
        <w:t>5.60</w:t>
      </w:r>
      <w:r w:rsidRPr="002160E3">
        <w:rPr>
          <w:rFonts w:asciiTheme="minorHAnsi" w:hAnsiTheme="minorHAnsi"/>
          <w:lang w:val="en-GB"/>
        </w:rPr>
        <w:t>million as compared to RO</w:t>
      </w:r>
      <w:r w:rsidR="00F717B3" w:rsidRPr="002160E3">
        <w:rPr>
          <w:rFonts w:asciiTheme="minorHAnsi" w:hAnsiTheme="minorHAnsi"/>
          <w:lang w:val="en-GB"/>
        </w:rPr>
        <w:t xml:space="preserve"> 9.30</w:t>
      </w:r>
      <w:r w:rsidRPr="002160E3">
        <w:rPr>
          <w:rFonts w:asciiTheme="minorHAnsi" w:hAnsiTheme="minorHAnsi"/>
          <w:lang w:val="en-GB"/>
        </w:rPr>
        <w:t xml:space="preserve"> million in 201</w:t>
      </w:r>
      <w:r w:rsidR="00BD6D9B" w:rsidRPr="002160E3">
        <w:rPr>
          <w:rFonts w:asciiTheme="minorHAnsi" w:hAnsiTheme="minorHAnsi"/>
          <w:lang w:val="en-GB"/>
        </w:rPr>
        <w:t>4</w:t>
      </w:r>
      <w:r w:rsidR="00B17A2E" w:rsidRPr="002160E3">
        <w:rPr>
          <w:rFonts w:asciiTheme="minorHAnsi" w:hAnsiTheme="minorHAnsi"/>
          <w:lang w:val="en-GB"/>
        </w:rPr>
        <w:t>.</w:t>
      </w:r>
      <w:r w:rsidR="00F23EBE" w:rsidRPr="002160E3">
        <w:rPr>
          <w:rFonts w:asciiTheme="minorHAnsi" w:hAnsiTheme="minorHAnsi"/>
          <w:lang w:val="en-GB"/>
        </w:rPr>
        <w:t xml:space="preserve"> </w:t>
      </w:r>
    </w:p>
    <w:p w14:paraId="1D635CBC" w14:textId="77777777" w:rsidR="00E730D3" w:rsidRPr="002160E3" w:rsidRDefault="0008791D" w:rsidP="006B2806">
      <w:pPr>
        <w:pStyle w:val="Title"/>
        <w:rPr>
          <w:rFonts w:asciiTheme="minorHAnsi" w:hAnsiTheme="minorHAnsi"/>
          <w:sz w:val="28"/>
          <w:szCs w:val="28"/>
          <w:lang w:val="en-GB"/>
        </w:rPr>
      </w:pPr>
      <w:r w:rsidRPr="002160E3">
        <w:rPr>
          <w:rFonts w:asciiTheme="minorHAnsi" w:hAnsiTheme="minorHAnsi"/>
          <w:sz w:val="28"/>
          <w:szCs w:val="28"/>
          <w:lang w:val="en-GB"/>
        </w:rPr>
        <w:t>OPPORTUNITIES</w:t>
      </w:r>
      <w:r w:rsidR="00E730D3" w:rsidRPr="002160E3">
        <w:rPr>
          <w:rFonts w:asciiTheme="minorHAnsi" w:hAnsiTheme="minorHAnsi"/>
          <w:sz w:val="28"/>
          <w:szCs w:val="28"/>
          <w:lang w:val="en-GB"/>
        </w:rPr>
        <w:t xml:space="preserve"> </w:t>
      </w:r>
    </w:p>
    <w:p w14:paraId="07E94F73" w14:textId="77777777" w:rsidR="00C77360" w:rsidRPr="002160E3" w:rsidRDefault="00C77360" w:rsidP="00E730D3">
      <w:pPr>
        <w:jc w:val="both"/>
        <w:rPr>
          <w:rFonts w:asciiTheme="minorHAnsi" w:hAnsiTheme="minorHAnsi"/>
        </w:rPr>
      </w:pPr>
      <w:r w:rsidRPr="002160E3">
        <w:rPr>
          <w:rFonts w:asciiTheme="minorHAnsi" w:hAnsiTheme="minorHAnsi"/>
        </w:rPr>
        <w:t xml:space="preserve">While Al Anwar continued to prosper in 2015-16, the company’s Board and management remain cautious on the regional and global macro-economic outlook and the potential for continued volatility in securities markets. The company places a strong emphasis on risk management and mitigation, and employs stringent processes at the corporate level and across the investment teams. </w:t>
      </w:r>
    </w:p>
    <w:p w14:paraId="1C999644" w14:textId="77777777" w:rsidR="0047624B" w:rsidRDefault="00CE28BD" w:rsidP="00CE28BD">
      <w:pPr>
        <w:jc w:val="both"/>
        <w:rPr>
          <w:rFonts w:asciiTheme="minorHAnsi" w:hAnsiTheme="minorHAnsi"/>
        </w:rPr>
      </w:pPr>
      <w:r w:rsidRPr="00CE28BD">
        <w:rPr>
          <w:rFonts w:asciiTheme="minorHAnsi" w:hAnsiTheme="minorHAnsi"/>
        </w:rPr>
        <w:t>We build for the long term — we manage through-the-cycle, and we always are</w:t>
      </w:r>
      <w:r>
        <w:rPr>
          <w:rFonts w:asciiTheme="minorHAnsi" w:hAnsiTheme="minorHAnsi"/>
        </w:rPr>
        <w:t xml:space="preserve"> </w:t>
      </w:r>
      <w:r w:rsidRPr="00CE28BD">
        <w:rPr>
          <w:rFonts w:asciiTheme="minorHAnsi" w:hAnsiTheme="minorHAnsi"/>
        </w:rPr>
        <w:t xml:space="preserve">prepared for the toughest of times. We will successfully navigate the new </w:t>
      </w:r>
      <w:r w:rsidR="0047624B">
        <w:rPr>
          <w:rFonts w:asciiTheme="minorHAnsi" w:hAnsiTheme="minorHAnsi"/>
        </w:rPr>
        <w:t xml:space="preserve">regional </w:t>
      </w:r>
      <w:r w:rsidRPr="00CE28BD">
        <w:rPr>
          <w:rFonts w:asciiTheme="minorHAnsi" w:hAnsiTheme="minorHAnsi"/>
        </w:rPr>
        <w:t>financial architecture (and we are</w:t>
      </w:r>
      <w:r>
        <w:rPr>
          <w:rFonts w:asciiTheme="minorHAnsi" w:hAnsiTheme="minorHAnsi"/>
        </w:rPr>
        <w:t xml:space="preserve"> </w:t>
      </w:r>
      <w:r w:rsidRPr="00CE28BD">
        <w:rPr>
          <w:rFonts w:asciiTheme="minorHAnsi" w:hAnsiTheme="minorHAnsi"/>
        </w:rPr>
        <w:t xml:space="preserve">well on our way to having fortress controls). </w:t>
      </w:r>
    </w:p>
    <w:p w14:paraId="4B267DFA" w14:textId="77777777" w:rsidR="00C77360" w:rsidRPr="002160E3" w:rsidRDefault="00C77360" w:rsidP="00C77360">
      <w:pPr>
        <w:jc w:val="both"/>
        <w:rPr>
          <w:rFonts w:asciiTheme="minorHAnsi" w:hAnsiTheme="minorHAnsi"/>
        </w:rPr>
      </w:pPr>
      <w:r w:rsidRPr="002160E3">
        <w:rPr>
          <w:rFonts w:asciiTheme="minorHAnsi" w:hAnsiTheme="minorHAnsi"/>
        </w:rPr>
        <w:lastRenderedPageBreak/>
        <w:t>Nevertheless, we are also aware that the current environment may represent an opportune time to deploy capital. As a nimble company that benefits from a strong balance sheet, we believe that Al Anwar is in an excellent position to take advantage of attractive opportunities.</w:t>
      </w:r>
    </w:p>
    <w:p w14:paraId="1EBBC068" w14:textId="77777777" w:rsidR="003C3DBA" w:rsidRPr="002160E3" w:rsidRDefault="006248C4" w:rsidP="00E730D3">
      <w:pPr>
        <w:jc w:val="both"/>
        <w:rPr>
          <w:rFonts w:asciiTheme="minorHAnsi" w:hAnsiTheme="minorHAnsi"/>
        </w:rPr>
      </w:pPr>
      <w:r w:rsidRPr="002160E3">
        <w:rPr>
          <w:rFonts w:asciiTheme="minorHAnsi" w:hAnsiTheme="minorHAnsi"/>
        </w:rPr>
        <w:t xml:space="preserve">At the backdrop of recent crash in the oil prices, and in case of any prolonged consistency in the pricing slump, the growth momentum of the national economy as well as performance of the Sultanate’s </w:t>
      </w:r>
      <w:r w:rsidR="003C3DBA" w:rsidRPr="002160E3">
        <w:rPr>
          <w:rFonts w:asciiTheme="minorHAnsi" w:hAnsiTheme="minorHAnsi"/>
        </w:rPr>
        <w:t>investment</w:t>
      </w:r>
      <w:r w:rsidRPr="002160E3">
        <w:rPr>
          <w:rFonts w:asciiTheme="minorHAnsi" w:hAnsiTheme="minorHAnsi"/>
        </w:rPr>
        <w:t xml:space="preserve"> sector would have to be assessed in the broader economic context. </w:t>
      </w:r>
    </w:p>
    <w:p w14:paraId="23D10E6E" w14:textId="77777777" w:rsidR="00987A3F" w:rsidRPr="002160E3" w:rsidRDefault="0074312F" w:rsidP="0074312F">
      <w:pPr>
        <w:pStyle w:val="BodyText"/>
        <w:rPr>
          <w:rFonts w:asciiTheme="minorHAnsi" w:hAnsiTheme="minorHAnsi"/>
          <w:iCs/>
          <w:sz w:val="22"/>
          <w:szCs w:val="22"/>
          <w:lang w:val="en-GB"/>
        </w:rPr>
      </w:pPr>
      <w:r w:rsidRPr="002160E3">
        <w:rPr>
          <w:rFonts w:asciiTheme="minorHAnsi" w:hAnsiTheme="minorHAnsi"/>
          <w:iCs/>
          <w:sz w:val="22"/>
          <w:szCs w:val="22"/>
          <w:lang w:val="en-GB"/>
        </w:rPr>
        <w:t xml:space="preserve">We as an Investment holding company have always </w:t>
      </w:r>
      <w:r w:rsidR="005D128B" w:rsidRPr="002160E3">
        <w:rPr>
          <w:rFonts w:asciiTheme="minorHAnsi" w:hAnsiTheme="minorHAnsi"/>
          <w:iCs/>
          <w:sz w:val="22"/>
          <w:szCs w:val="22"/>
          <w:lang w:val="en-GB"/>
        </w:rPr>
        <w:t>look</w:t>
      </w:r>
      <w:r w:rsidRPr="002160E3">
        <w:rPr>
          <w:rFonts w:asciiTheme="minorHAnsi" w:hAnsiTheme="minorHAnsi"/>
          <w:iCs/>
          <w:sz w:val="22"/>
          <w:szCs w:val="22"/>
          <w:lang w:val="en-GB"/>
        </w:rPr>
        <w:t>ed for growth business</w:t>
      </w:r>
      <w:r w:rsidR="005D128B" w:rsidRPr="002160E3">
        <w:rPr>
          <w:rFonts w:asciiTheme="minorHAnsi" w:hAnsiTheme="minorHAnsi"/>
          <w:iCs/>
          <w:sz w:val="22"/>
          <w:szCs w:val="22"/>
          <w:lang w:val="en-GB"/>
        </w:rPr>
        <w:t>es</w:t>
      </w:r>
      <w:r w:rsidRPr="002160E3">
        <w:rPr>
          <w:rFonts w:asciiTheme="minorHAnsi" w:hAnsiTheme="minorHAnsi"/>
          <w:iCs/>
          <w:sz w:val="22"/>
          <w:szCs w:val="22"/>
          <w:lang w:val="en-GB"/>
        </w:rPr>
        <w:t xml:space="preserve"> with a penchant for turnaround stories. </w:t>
      </w:r>
      <w:r w:rsidR="002F1C1B" w:rsidRPr="002160E3">
        <w:rPr>
          <w:rFonts w:asciiTheme="minorHAnsi" w:hAnsiTheme="minorHAnsi"/>
          <w:iCs/>
          <w:sz w:val="22"/>
          <w:szCs w:val="22"/>
          <w:lang w:val="en-GB"/>
        </w:rPr>
        <w:t>The b</w:t>
      </w:r>
      <w:r w:rsidR="00F50500" w:rsidRPr="002160E3">
        <w:rPr>
          <w:rFonts w:asciiTheme="minorHAnsi" w:hAnsiTheme="minorHAnsi"/>
          <w:iCs/>
          <w:sz w:val="22"/>
          <w:szCs w:val="22"/>
          <w:lang w:val="en-GB"/>
        </w:rPr>
        <w:t>usiness model of our company has been tested regularly</w:t>
      </w:r>
      <w:r w:rsidR="00E34439" w:rsidRPr="002160E3">
        <w:rPr>
          <w:rFonts w:asciiTheme="minorHAnsi" w:hAnsiTheme="minorHAnsi"/>
          <w:iCs/>
          <w:sz w:val="22"/>
          <w:szCs w:val="22"/>
          <w:lang w:val="en-GB"/>
        </w:rPr>
        <w:t xml:space="preserve"> with market developments and outlook</w:t>
      </w:r>
      <w:r w:rsidR="00F50500" w:rsidRPr="002160E3">
        <w:rPr>
          <w:rFonts w:asciiTheme="minorHAnsi" w:hAnsiTheme="minorHAnsi"/>
          <w:iCs/>
          <w:sz w:val="22"/>
          <w:szCs w:val="22"/>
          <w:lang w:val="en-GB"/>
        </w:rPr>
        <w:t>.</w:t>
      </w:r>
    </w:p>
    <w:p w14:paraId="262351BA" w14:textId="77777777" w:rsidR="006439C9" w:rsidRPr="002160E3" w:rsidRDefault="006439C9" w:rsidP="0074312F">
      <w:pPr>
        <w:pStyle w:val="BodyText"/>
        <w:rPr>
          <w:rFonts w:asciiTheme="minorHAnsi" w:hAnsiTheme="minorHAnsi"/>
          <w:iCs/>
          <w:sz w:val="22"/>
          <w:szCs w:val="22"/>
          <w:lang w:val="en-GB"/>
        </w:rPr>
      </w:pPr>
    </w:p>
    <w:p w14:paraId="34031627" w14:textId="77777777" w:rsidR="00507F31" w:rsidRPr="002160E3" w:rsidRDefault="000A3E5C" w:rsidP="000A3E5C">
      <w:pPr>
        <w:pStyle w:val="BodyText"/>
        <w:rPr>
          <w:rFonts w:asciiTheme="minorHAnsi" w:hAnsiTheme="minorHAnsi"/>
          <w:iCs/>
          <w:sz w:val="22"/>
          <w:szCs w:val="22"/>
          <w:lang w:val="en-GB"/>
        </w:rPr>
      </w:pPr>
      <w:r w:rsidRPr="002160E3">
        <w:rPr>
          <w:rFonts w:asciiTheme="minorHAnsi" w:hAnsiTheme="minorHAnsi"/>
          <w:iCs/>
          <w:sz w:val="22"/>
          <w:szCs w:val="22"/>
          <w:lang w:val="en-GB"/>
        </w:rPr>
        <w:t xml:space="preserve">We have a fully engaged board, an exceptional management team and a strong corporate culture. </w:t>
      </w:r>
      <w:r w:rsidR="00256C0A" w:rsidRPr="002160E3">
        <w:rPr>
          <w:rFonts w:asciiTheme="minorHAnsi" w:hAnsiTheme="minorHAnsi"/>
          <w:iCs/>
          <w:sz w:val="22"/>
          <w:szCs w:val="22"/>
          <w:lang w:val="en-GB"/>
        </w:rPr>
        <w:t>Challenges still exist, and there’s always room for improvement, but as we head into 201</w:t>
      </w:r>
      <w:r w:rsidRPr="002160E3">
        <w:rPr>
          <w:rFonts w:asciiTheme="minorHAnsi" w:hAnsiTheme="minorHAnsi"/>
          <w:iCs/>
          <w:sz w:val="22"/>
          <w:szCs w:val="22"/>
          <w:lang w:val="en-GB"/>
        </w:rPr>
        <w:t>6</w:t>
      </w:r>
      <w:r w:rsidR="00256C0A" w:rsidRPr="002160E3">
        <w:rPr>
          <w:rFonts w:asciiTheme="minorHAnsi" w:hAnsiTheme="minorHAnsi"/>
          <w:iCs/>
          <w:sz w:val="22"/>
          <w:szCs w:val="22"/>
          <w:lang w:val="en-GB"/>
        </w:rPr>
        <w:t>, we remain proud of these accomplishments and are optimistic about the future.</w:t>
      </w:r>
    </w:p>
    <w:p w14:paraId="757597E1" w14:textId="77777777" w:rsidR="00C24BC8" w:rsidRPr="002160E3" w:rsidRDefault="00C24BC8" w:rsidP="00E72F6E">
      <w:pPr>
        <w:pStyle w:val="BodyText"/>
        <w:rPr>
          <w:rFonts w:asciiTheme="minorHAnsi" w:hAnsiTheme="minorHAnsi"/>
          <w:iCs/>
          <w:sz w:val="22"/>
          <w:szCs w:val="22"/>
          <w:lang w:val="en-GB"/>
        </w:rPr>
      </w:pPr>
    </w:p>
    <w:p w14:paraId="3B50780B" w14:textId="77777777" w:rsidR="00507F31" w:rsidRPr="002160E3" w:rsidRDefault="00507F31" w:rsidP="006B2806">
      <w:pPr>
        <w:pStyle w:val="Title"/>
        <w:rPr>
          <w:rFonts w:asciiTheme="minorHAnsi" w:hAnsiTheme="minorHAnsi"/>
          <w:sz w:val="28"/>
          <w:szCs w:val="28"/>
          <w:lang w:val="en-GB"/>
        </w:rPr>
      </w:pPr>
      <w:r w:rsidRPr="002160E3">
        <w:rPr>
          <w:rFonts w:asciiTheme="minorHAnsi" w:hAnsiTheme="minorHAnsi"/>
          <w:sz w:val="28"/>
          <w:szCs w:val="28"/>
          <w:lang w:val="en-GB"/>
        </w:rPr>
        <w:t>PERFORMANCE</w:t>
      </w:r>
      <w:r w:rsidR="00BE4100" w:rsidRPr="002160E3">
        <w:rPr>
          <w:rFonts w:asciiTheme="minorHAnsi" w:hAnsiTheme="minorHAnsi"/>
          <w:sz w:val="28"/>
          <w:szCs w:val="28"/>
          <w:lang w:val="en-GB"/>
        </w:rPr>
        <w:t xml:space="preserve"> ANALYSIS</w:t>
      </w:r>
    </w:p>
    <w:p w14:paraId="191A07A7" w14:textId="77777777" w:rsidR="00255166" w:rsidRPr="002160E3" w:rsidRDefault="00023350" w:rsidP="00E72F6E">
      <w:pPr>
        <w:pStyle w:val="BodyText"/>
        <w:rPr>
          <w:rFonts w:asciiTheme="minorHAnsi" w:hAnsiTheme="minorHAnsi"/>
          <w:iCs/>
          <w:sz w:val="22"/>
          <w:szCs w:val="22"/>
          <w:lang w:val="en-GB"/>
        </w:rPr>
      </w:pPr>
      <w:r w:rsidRPr="002160E3">
        <w:rPr>
          <w:rFonts w:asciiTheme="minorHAnsi" w:hAnsiTheme="minorHAnsi"/>
          <w:iCs/>
          <w:sz w:val="22"/>
          <w:szCs w:val="22"/>
          <w:lang w:val="en-GB"/>
        </w:rPr>
        <w:t>For FY201</w:t>
      </w:r>
      <w:r w:rsidR="00D54BE7" w:rsidRPr="002160E3">
        <w:rPr>
          <w:rFonts w:asciiTheme="minorHAnsi" w:hAnsiTheme="minorHAnsi"/>
          <w:iCs/>
          <w:sz w:val="22"/>
          <w:szCs w:val="22"/>
          <w:lang w:val="en-GB"/>
        </w:rPr>
        <w:t>5</w:t>
      </w:r>
      <w:r w:rsidRPr="002160E3">
        <w:rPr>
          <w:rFonts w:asciiTheme="minorHAnsi" w:hAnsiTheme="minorHAnsi"/>
          <w:iCs/>
          <w:sz w:val="22"/>
          <w:szCs w:val="22"/>
          <w:lang w:val="en-GB"/>
        </w:rPr>
        <w:t>-1</w:t>
      </w:r>
      <w:r w:rsidR="00D54BE7" w:rsidRPr="002160E3">
        <w:rPr>
          <w:rFonts w:asciiTheme="minorHAnsi" w:hAnsiTheme="minorHAnsi"/>
          <w:iCs/>
          <w:sz w:val="22"/>
          <w:szCs w:val="22"/>
          <w:lang w:val="en-GB"/>
        </w:rPr>
        <w:t>6</w:t>
      </w:r>
      <w:r w:rsidRPr="002160E3">
        <w:rPr>
          <w:rFonts w:asciiTheme="minorHAnsi" w:hAnsiTheme="minorHAnsi"/>
          <w:iCs/>
          <w:sz w:val="22"/>
          <w:szCs w:val="22"/>
          <w:lang w:val="en-GB"/>
        </w:rPr>
        <w:t>, Al Anwar Holdings has continued to be on the growth and profitability trajectory</w:t>
      </w:r>
      <w:r w:rsidR="00D36F01" w:rsidRPr="002160E3">
        <w:rPr>
          <w:rFonts w:asciiTheme="minorHAnsi" w:hAnsiTheme="minorHAnsi"/>
          <w:iCs/>
          <w:sz w:val="22"/>
          <w:szCs w:val="22"/>
          <w:lang w:val="en-GB"/>
        </w:rPr>
        <w:t xml:space="preserve"> as exhibited in the following charts.</w:t>
      </w:r>
      <w:r w:rsidR="001D3591" w:rsidRPr="002160E3">
        <w:rPr>
          <w:rFonts w:asciiTheme="minorHAnsi" w:hAnsiTheme="minorHAnsi"/>
          <w:iCs/>
          <w:sz w:val="22"/>
          <w:szCs w:val="22"/>
          <w:lang w:val="en-GB"/>
        </w:rPr>
        <w:t xml:space="preserve"> </w:t>
      </w:r>
    </w:p>
    <w:p w14:paraId="16A45A5A" w14:textId="77777777" w:rsidR="00B443E9" w:rsidRPr="002160E3" w:rsidRDefault="00B443E9" w:rsidP="00E72F6E">
      <w:pPr>
        <w:pStyle w:val="BodyText"/>
        <w:rPr>
          <w:rFonts w:asciiTheme="minorHAnsi" w:hAnsiTheme="minorHAnsi"/>
          <w:iCs/>
          <w:sz w:val="22"/>
          <w:szCs w:val="22"/>
          <w:lang w:val="en-GB"/>
        </w:rPr>
      </w:pPr>
    </w:p>
    <w:p w14:paraId="3A2AE984" w14:textId="77777777" w:rsidR="00255166" w:rsidRPr="002160E3" w:rsidRDefault="008821E0" w:rsidP="00E72F6E">
      <w:pPr>
        <w:pStyle w:val="BodyText"/>
        <w:rPr>
          <w:rFonts w:asciiTheme="minorHAnsi" w:hAnsiTheme="minorHAnsi"/>
          <w:iCs/>
          <w:sz w:val="22"/>
          <w:szCs w:val="22"/>
          <w:lang w:val="en-GB"/>
        </w:rPr>
      </w:pPr>
      <w:r w:rsidRPr="002160E3">
        <w:rPr>
          <w:rFonts w:asciiTheme="minorHAnsi" w:hAnsiTheme="minorHAnsi"/>
          <w:noProof/>
        </w:rPr>
        <w:drawing>
          <wp:inline distT="0" distB="0" distL="0" distR="0" wp14:anchorId="0E08D853" wp14:editId="045F9F27">
            <wp:extent cx="5400675" cy="25527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4D36FC" w14:textId="77777777" w:rsidR="00832954" w:rsidRPr="002160E3" w:rsidRDefault="00832954" w:rsidP="00E72F6E">
      <w:pPr>
        <w:pStyle w:val="BodyText"/>
        <w:rPr>
          <w:rFonts w:asciiTheme="minorHAnsi" w:hAnsiTheme="minorHAnsi"/>
          <w:iCs/>
          <w:sz w:val="22"/>
          <w:szCs w:val="22"/>
          <w:lang w:val="en-GB"/>
        </w:rPr>
      </w:pPr>
    </w:p>
    <w:p w14:paraId="7C4326B4" w14:textId="77777777" w:rsidR="008821E0" w:rsidRPr="002160E3" w:rsidRDefault="00034F5B" w:rsidP="00832954">
      <w:pPr>
        <w:pStyle w:val="BodyText"/>
        <w:rPr>
          <w:rFonts w:asciiTheme="minorHAnsi" w:hAnsiTheme="minorHAnsi"/>
          <w:iCs/>
          <w:sz w:val="22"/>
          <w:szCs w:val="22"/>
          <w:lang w:val="en-GB"/>
        </w:rPr>
      </w:pPr>
      <w:r w:rsidRPr="002160E3">
        <w:rPr>
          <w:rFonts w:asciiTheme="minorHAnsi" w:hAnsiTheme="minorHAnsi"/>
          <w:iCs/>
          <w:sz w:val="22"/>
          <w:szCs w:val="22"/>
          <w:lang w:val="en-GB"/>
        </w:rPr>
        <w:t>Over the last f</w:t>
      </w:r>
      <w:r w:rsidR="00B443E9" w:rsidRPr="002160E3">
        <w:rPr>
          <w:rFonts w:asciiTheme="minorHAnsi" w:hAnsiTheme="minorHAnsi"/>
          <w:iCs/>
          <w:sz w:val="22"/>
          <w:szCs w:val="22"/>
          <w:lang w:val="en-GB"/>
        </w:rPr>
        <w:t>ive</w:t>
      </w:r>
      <w:r w:rsidRPr="002160E3">
        <w:rPr>
          <w:rFonts w:asciiTheme="minorHAnsi" w:hAnsiTheme="minorHAnsi"/>
          <w:iCs/>
          <w:sz w:val="22"/>
          <w:szCs w:val="22"/>
          <w:lang w:val="en-GB"/>
        </w:rPr>
        <w:t xml:space="preserve"> years, </w:t>
      </w:r>
      <w:r w:rsidR="00907466" w:rsidRPr="002160E3">
        <w:rPr>
          <w:rFonts w:asciiTheme="minorHAnsi" w:hAnsiTheme="minorHAnsi"/>
          <w:iCs/>
          <w:sz w:val="22"/>
          <w:szCs w:val="22"/>
          <w:lang w:val="en-GB"/>
        </w:rPr>
        <w:t>Al Anwar has exhibited a steady growth in profits</w:t>
      </w:r>
      <w:r w:rsidR="00DE5F32" w:rsidRPr="002160E3">
        <w:rPr>
          <w:rFonts w:asciiTheme="minorHAnsi" w:hAnsiTheme="minorHAnsi"/>
          <w:iCs/>
          <w:sz w:val="22"/>
          <w:szCs w:val="22"/>
          <w:lang w:val="en-GB"/>
        </w:rPr>
        <w:t>.</w:t>
      </w:r>
      <w:r w:rsidR="00907466" w:rsidRPr="002160E3">
        <w:rPr>
          <w:rFonts w:asciiTheme="minorHAnsi" w:hAnsiTheme="minorHAnsi"/>
          <w:iCs/>
          <w:sz w:val="22"/>
          <w:szCs w:val="22"/>
          <w:lang w:val="en-GB"/>
        </w:rPr>
        <w:t xml:space="preserve"> </w:t>
      </w:r>
      <w:r w:rsidR="008821E0" w:rsidRPr="002160E3">
        <w:rPr>
          <w:rFonts w:asciiTheme="minorHAnsi" w:hAnsiTheme="minorHAnsi"/>
          <w:iCs/>
          <w:sz w:val="22"/>
          <w:szCs w:val="22"/>
          <w:lang w:val="en-GB"/>
        </w:rPr>
        <w:t>We</w:t>
      </w:r>
      <w:r w:rsidR="00832954" w:rsidRPr="002160E3">
        <w:rPr>
          <w:rFonts w:asciiTheme="minorHAnsi" w:hAnsiTheme="minorHAnsi"/>
          <w:iCs/>
          <w:sz w:val="22"/>
          <w:szCs w:val="22"/>
          <w:lang w:val="en-GB"/>
        </w:rPr>
        <w:t xml:space="preserve"> </w:t>
      </w:r>
      <w:r w:rsidR="008821E0" w:rsidRPr="002160E3">
        <w:rPr>
          <w:rFonts w:asciiTheme="minorHAnsi" w:hAnsiTheme="minorHAnsi"/>
          <w:iCs/>
          <w:sz w:val="22"/>
          <w:szCs w:val="22"/>
          <w:lang w:val="en-GB"/>
        </w:rPr>
        <w:t xml:space="preserve">have </w:t>
      </w:r>
      <w:r w:rsidR="00832954" w:rsidRPr="002160E3">
        <w:rPr>
          <w:rFonts w:asciiTheme="minorHAnsi" w:hAnsiTheme="minorHAnsi"/>
          <w:iCs/>
          <w:sz w:val="22"/>
          <w:szCs w:val="22"/>
          <w:lang w:val="en-GB"/>
        </w:rPr>
        <w:t xml:space="preserve">earned record </w:t>
      </w:r>
      <w:r w:rsidR="008821E0" w:rsidRPr="002160E3">
        <w:rPr>
          <w:rFonts w:asciiTheme="minorHAnsi" w:hAnsiTheme="minorHAnsi"/>
          <w:iCs/>
          <w:sz w:val="22"/>
          <w:szCs w:val="22"/>
          <w:lang w:val="en-GB"/>
        </w:rPr>
        <w:t xml:space="preserve">profits of RO 4.94mn </w:t>
      </w:r>
      <w:r w:rsidR="00832954" w:rsidRPr="002160E3">
        <w:rPr>
          <w:rFonts w:asciiTheme="minorHAnsi" w:hAnsiTheme="minorHAnsi"/>
          <w:iCs/>
          <w:sz w:val="22"/>
          <w:szCs w:val="22"/>
          <w:lang w:val="en-GB"/>
        </w:rPr>
        <w:t xml:space="preserve">in </w:t>
      </w:r>
      <w:r w:rsidR="008821E0" w:rsidRPr="002160E3">
        <w:rPr>
          <w:rFonts w:asciiTheme="minorHAnsi" w:hAnsiTheme="minorHAnsi"/>
          <w:iCs/>
          <w:sz w:val="22"/>
          <w:szCs w:val="22"/>
          <w:lang w:val="en-GB"/>
        </w:rPr>
        <w:t>FY 2015-16, surpassing the last year’s record of RO 4.67mn</w:t>
      </w:r>
      <w:r w:rsidR="00832954" w:rsidRPr="002160E3">
        <w:rPr>
          <w:rFonts w:asciiTheme="minorHAnsi" w:hAnsiTheme="minorHAnsi"/>
          <w:iCs/>
          <w:sz w:val="22"/>
          <w:szCs w:val="22"/>
          <w:lang w:val="en-GB"/>
        </w:rPr>
        <w:t xml:space="preserve">. </w:t>
      </w:r>
    </w:p>
    <w:p w14:paraId="3730BA55" w14:textId="77777777" w:rsidR="008821E0" w:rsidRPr="002160E3" w:rsidRDefault="008821E0" w:rsidP="00832954">
      <w:pPr>
        <w:pStyle w:val="BodyText"/>
        <w:rPr>
          <w:rFonts w:asciiTheme="minorHAnsi" w:hAnsiTheme="minorHAnsi"/>
          <w:iCs/>
          <w:sz w:val="22"/>
          <w:szCs w:val="22"/>
          <w:lang w:val="en-GB"/>
        </w:rPr>
      </w:pPr>
    </w:p>
    <w:p w14:paraId="63691AC8" w14:textId="77777777" w:rsidR="008821E0" w:rsidRPr="002160E3" w:rsidRDefault="00832954" w:rsidP="00832954">
      <w:pPr>
        <w:pStyle w:val="BodyText"/>
        <w:rPr>
          <w:rFonts w:asciiTheme="minorHAnsi" w:hAnsiTheme="minorHAnsi"/>
          <w:iCs/>
          <w:sz w:val="22"/>
          <w:szCs w:val="22"/>
          <w:lang w:val="en-GB"/>
        </w:rPr>
      </w:pPr>
      <w:r w:rsidRPr="002160E3">
        <w:rPr>
          <w:rFonts w:asciiTheme="minorHAnsi" w:hAnsiTheme="minorHAnsi"/>
          <w:iCs/>
          <w:sz w:val="22"/>
          <w:szCs w:val="22"/>
          <w:lang w:val="en-GB"/>
        </w:rPr>
        <w:t xml:space="preserve">In fact, we have delivered </w:t>
      </w:r>
      <w:r w:rsidR="00393E15" w:rsidRPr="002160E3">
        <w:rPr>
          <w:rFonts w:asciiTheme="minorHAnsi" w:hAnsiTheme="minorHAnsi"/>
          <w:iCs/>
          <w:sz w:val="22"/>
          <w:szCs w:val="22"/>
          <w:lang w:val="en-GB"/>
        </w:rPr>
        <w:t xml:space="preserve">continued growth </w:t>
      </w:r>
      <w:r w:rsidRPr="002160E3">
        <w:rPr>
          <w:rFonts w:asciiTheme="minorHAnsi" w:hAnsiTheme="minorHAnsi"/>
          <w:iCs/>
          <w:sz w:val="22"/>
          <w:szCs w:val="22"/>
          <w:lang w:val="en-GB"/>
        </w:rPr>
        <w:t xml:space="preserve">in the last five years, and we hope to continue to deliver in the future. Our financial results reflected strong underlying performance across our businesses. </w:t>
      </w:r>
    </w:p>
    <w:p w14:paraId="52354492" w14:textId="77777777" w:rsidR="008821E0" w:rsidRPr="002160E3" w:rsidRDefault="008821E0" w:rsidP="00832954">
      <w:pPr>
        <w:pStyle w:val="BodyText"/>
        <w:rPr>
          <w:rFonts w:asciiTheme="minorHAnsi" w:hAnsiTheme="minorHAnsi"/>
          <w:iCs/>
          <w:sz w:val="22"/>
          <w:szCs w:val="22"/>
          <w:lang w:val="en-GB"/>
        </w:rPr>
      </w:pPr>
    </w:p>
    <w:p w14:paraId="60946DAD" w14:textId="77777777" w:rsidR="00F779E8" w:rsidRPr="002160E3" w:rsidRDefault="00832954" w:rsidP="00832954">
      <w:pPr>
        <w:pStyle w:val="BodyText"/>
        <w:rPr>
          <w:rFonts w:asciiTheme="minorHAnsi" w:hAnsiTheme="minorHAnsi"/>
          <w:iCs/>
          <w:sz w:val="22"/>
          <w:szCs w:val="22"/>
          <w:lang w:val="en-GB"/>
        </w:rPr>
      </w:pPr>
      <w:r w:rsidRPr="002160E3">
        <w:rPr>
          <w:rFonts w:asciiTheme="minorHAnsi" w:hAnsiTheme="minorHAnsi"/>
          <w:iCs/>
          <w:sz w:val="22"/>
          <w:szCs w:val="22"/>
          <w:lang w:val="en-GB"/>
        </w:rPr>
        <w:t xml:space="preserve">Over the course of last year, our </w:t>
      </w:r>
      <w:r w:rsidR="00F779E8" w:rsidRPr="002160E3">
        <w:rPr>
          <w:rFonts w:asciiTheme="minorHAnsi" w:hAnsiTheme="minorHAnsi"/>
          <w:iCs/>
          <w:sz w:val="22"/>
          <w:szCs w:val="22"/>
          <w:lang w:val="en-GB"/>
        </w:rPr>
        <w:t>key investments</w:t>
      </w:r>
      <w:r w:rsidRPr="002160E3">
        <w:rPr>
          <w:rFonts w:asciiTheme="minorHAnsi" w:hAnsiTheme="minorHAnsi"/>
          <w:iCs/>
          <w:sz w:val="22"/>
          <w:szCs w:val="22"/>
          <w:lang w:val="en-GB"/>
        </w:rPr>
        <w:t xml:space="preserve"> maintained — and even strengthened — our leadership positions and continued to gain market share, and foster </w:t>
      </w:r>
      <w:r w:rsidR="00F779E8" w:rsidRPr="002160E3">
        <w:rPr>
          <w:rFonts w:asciiTheme="minorHAnsi" w:hAnsiTheme="minorHAnsi"/>
          <w:iCs/>
          <w:sz w:val="22"/>
          <w:szCs w:val="22"/>
          <w:lang w:val="en-GB"/>
        </w:rPr>
        <w:t>value creation</w:t>
      </w:r>
      <w:r w:rsidRPr="002160E3">
        <w:rPr>
          <w:rFonts w:asciiTheme="minorHAnsi" w:hAnsiTheme="minorHAnsi"/>
          <w:iCs/>
          <w:sz w:val="22"/>
          <w:szCs w:val="22"/>
          <w:lang w:val="en-GB"/>
        </w:rPr>
        <w:t xml:space="preserve">. </w:t>
      </w:r>
    </w:p>
    <w:p w14:paraId="3940817B" w14:textId="77777777" w:rsidR="00F779E8" w:rsidRPr="002160E3" w:rsidRDefault="00F779E8" w:rsidP="00832954">
      <w:pPr>
        <w:pStyle w:val="BodyText"/>
        <w:rPr>
          <w:rFonts w:asciiTheme="minorHAnsi" w:hAnsiTheme="minorHAnsi"/>
          <w:iCs/>
          <w:sz w:val="22"/>
          <w:szCs w:val="22"/>
          <w:lang w:val="en-GB"/>
        </w:rPr>
      </w:pPr>
    </w:p>
    <w:p w14:paraId="7AB41A48" w14:textId="77777777" w:rsidR="00B443E9" w:rsidRPr="002160E3" w:rsidRDefault="00832954" w:rsidP="00832954">
      <w:pPr>
        <w:pStyle w:val="BodyText"/>
        <w:rPr>
          <w:rFonts w:asciiTheme="minorHAnsi" w:hAnsiTheme="minorHAnsi"/>
          <w:b/>
          <w:iCs/>
          <w:sz w:val="22"/>
          <w:szCs w:val="22"/>
          <w:lang w:val="en-GB"/>
        </w:rPr>
      </w:pPr>
      <w:r w:rsidRPr="002160E3">
        <w:rPr>
          <w:rFonts w:asciiTheme="minorHAnsi" w:hAnsiTheme="minorHAnsi"/>
          <w:iCs/>
          <w:sz w:val="22"/>
          <w:szCs w:val="22"/>
          <w:lang w:val="en-GB"/>
        </w:rPr>
        <w:lastRenderedPageBreak/>
        <w:t>We also continued to deliver on business simplification, regulatory requirements, controls, expense discipline and capital requirements.</w:t>
      </w:r>
    </w:p>
    <w:p w14:paraId="6A612AC0" w14:textId="77777777" w:rsidR="002A6277" w:rsidRPr="002160E3" w:rsidRDefault="002A6277" w:rsidP="00E72F6E">
      <w:pPr>
        <w:pStyle w:val="BodyText"/>
        <w:rPr>
          <w:rFonts w:asciiTheme="minorHAnsi" w:hAnsiTheme="minorHAnsi"/>
          <w:b/>
          <w:iCs/>
          <w:sz w:val="22"/>
          <w:szCs w:val="22"/>
          <w:lang w:val="en-GB"/>
        </w:rPr>
      </w:pPr>
    </w:p>
    <w:p w14:paraId="2CB1E57D" w14:textId="77777777" w:rsidR="00CF6B2A" w:rsidRPr="002160E3" w:rsidRDefault="00CF6B2A" w:rsidP="00CF6B2A">
      <w:pPr>
        <w:pStyle w:val="BodyText"/>
        <w:jc w:val="center"/>
        <w:rPr>
          <w:rFonts w:asciiTheme="minorHAnsi" w:hAnsiTheme="minorHAnsi"/>
          <w:iCs/>
          <w:lang w:val="en-GB"/>
        </w:rPr>
      </w:pPr>
      <w:r w:rsidRPr="002160E3">
        <w:rPr>
          <w:rFonts w:asciiTheme="minorHAnsi" w:hAnsiTheme="minorHAnsi"/>
          <w:noProof/>
        </w:rPr>
        <w:drawing>
          <wp:inline distT="0" distB="0" distL="0" distR="0" wp14:anchorId="63695B14" wp14:editId="5BD80C25">
            <wp:extent cx="5172075" cy="24288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BDA8CD" w14:textId="77777777" w:rsidR="00CF6B2A" w:rsidRPr="002160E3" w:rsidRDefault="00CF6B2A" w:rsidP="00CF6B2A">
      <w:pPr>
        <w:pStyle w:val="BodyText"/>
        <w:rPr>
          <w:rFonts w:asciiTheme="minorHAnsi" w:hAnsiTheme="minorHAnsi"/>
          <w:iCs/>
          <w:sz w:val="22"/>
          <w:szCs w:val="22"/>
          <w:lang w:val="en-GB"/>
        </w:rPr>
      </w:pPr>
      <w:r w:rsidRPr="002160E3">
        <w:rPr>
          <w:rFonts w:asciiTheme="minorHAnsi" w:hAnsiTheme="minorHAnsi"/>
          <w:iCs/>
          <w:sz w:val="22"/>
          <w:szCs w:val="22"/>
          <w:lang w:val="en-GB"/>
        </w:rPr>
        <w:t>Growth in our investment portfolio has been achieved whilst maintaining a conservative leverage position.  As of 31</w:t>
      </w:r>
      <w:r w:rsidRPr="002160E3">
        <w:rPr>
          <w:rFonts w:asciiTheme="minorHAnsi" w:hAnsiTheme="minorHAnsi"/>
          <w:iCs/>
          <w:sz w:val="22"/>
          <w:szCs w:val="22"/>
          <w:vertAlign w:val="superscript"/>
          <w:lang w:val="en-GB"/>
        </w:rPr>
        <w:t>st</w:t>
      </w:r>
      <w:r w:rsidRPr="002160E3">
        <w:rPr>
          <w:rFonts w:asciiTheme="minorHAnsi" w:hAnsiTheme="minorHAnsi"/>
          <w:iCs/>
          <w:sz w:val="22"/>
          <w:szCs w:val="22"/>
          <w:lang w:val="en-GB"/>
        </w:rPr>
        <w:t xml:space="preserve"> March 2016 our Debt/ Equity ratio was maintained at 0.35.</w:t>
      </w:r>
    </w:p>
    <w:p w14:paraId="6A01A9BF" w14:textId="77777777" w:rsidR="00CF6B2A" w:rsidRPr="002160E3" w:rsidRDefault="00CF6B2A" w:rsidP="00026DBD">
      <w:pPr>
        <w:pStyle w:val="BodyText"/>
        <w:jc w:val="left"/>
        <w:rPr>
          <w:rFonts w:asciiTheme="minorHAnsi" w:hAnsiTheme="minorHAnsi"/>
          <w:iCs/>
          <w:lang w:val="en-GB"/>
        </w:rPr>
      </w:pPr>
    </w:p>
    <w:p w14:paraId="5CD9E617" w14:textId="0E99A254" w:rsidR="00023350" w:rsidRPr="002160E3" w:rsidRDefault="002557D2" w:rsidP="00CF6B2A">
      <w:pPr>
        <w:pStyle w:val="BodyText"/>
        <w:jc w:val="center"/>
        <w:rPr>
          <w:rFonts w:asciiTheme="minorHAnsi" w:hAnsiTheme="minorHAnsi"/>
          <w:iCs/>
          <w:sz w:val="22"/>
          <w:szCs w:val="22"/>
          <w:lang w:val="en-GB"/>
        </w:rPr>
      </w:pPr>
      <w:r w:rsidRPr="002557D2">
        <w:drawing>
          <wp:inline distT="0" distB="0" distL="0" distR="0" wp14:anchorId="36F51754" wp14:editId="738CCECC">
            <wp:extent cx="4085715" cy="2619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85715" cy="2619048"/>
                    </a:xfrm>
                    <a:prstGeom prst="rect">
                      <a:avLst/>
                    </a:prstGeom>
                  </pic:spPr>
                </pic:pic>
              </a:graphicData>
            </a:graphic>
          </wp:inline>
        </w:drawing>
      </w:r>
    </w:p>
    <w:p w14:paraId="2E5CFB2A" w14:textId="77777777" w:rsidR="005532F5" w:rsidRPr="002160E3" w:rsidRDefault="005532F5" w:rsidP="00E72F6E">
      <w:pPr>
        <w:pStyle w:val="BodyText"/>
        <w:rPr>
          <w:rFonts w:asciiTheme="minorHAnsi" w:hAnsiTheme="minorHAnsi"/>
          <w:iCs/>
          <w:sz w:val="22"/>
          <w:szCs w:val="22"/>
          <w:lang w:val="en-GB"/>
        </w:rPr>
      </w:pPr>
    </w:p>
    <w:p w14:paraId="401C48EF" w14:textId="77777777" w:rsidR="00154082" w:rsidRPr="002160E3" w:rsidRDefault="0080033A" w:rsidP="00E72F6E">
      <w:pPr>
        <w:pStyle w:val="BodyText"/>
        <w:rPr>
          <w:rFonts w:asciiTheme="minorHAnsi" w:hAnsiTheme="minorHAnsi"/>
          <w:i/>
          <w:iCs/>
          <w:sz w:val="22"/>
          <w:szCs w:val="22"/>
          <w:lang w:val="en-GB"/>
        </w:rPr>
      </w:pPr>
      <w:r w:rsidRPr="002160E3">
        <w:rPr>
          <w:rFonts w:asciiTheme="minorHAnsi" w:hAnsiTheme="minorHAnsi"/>
          <w:iCs/>
          <w:sz w:val="22"/>
          <w:szCs w:val="22"/>
          <w:lang w:val="en-GB"/>
        </w:rPr>
        <w:t xml:space="preserve">The </w:t>
      </w:r>
      <w:r w:rsidR="00CD2B2D" w:rsidRPr="002160E3">
        <w:rPr>
          <w:rFonts w:asciiTheme="minorHAnsi" w:hAnsiTheme="minorHAnsi"/>
          <w:iCs/>
          <w:sz w:val="22"/>
          <w:szCs w:val="22"/>
          <w:lang w:val="en-GB"/>
        </w:rPr>
        <w:t>sectorial</w:t>
      </w:r>
      <w:r w:rsidRPr="002160E3">
        <w:rPr>
          <w:rFonts w:asciiTheme="minorHAnsi" w:hAnsiTheme="minorHAnsi"/>
          <w:iCs/>
          <w:sz w:val="22"/>
          <w:szCs w:val="22"/>
          <w:lang w:val="en-GB"/>
        </w:rPr>
        <w:t xml:space="preserve"> composition of the investment book is as under:</w:t>
      </w:r>
      <w:r w:rsidR="00154082" w:rsidRPr="002160E3">
        <w:rPr>
          <w:rFonts w:asciiTheme="minorHAnsi" w:hAnsiTheme="minorHAnsi"/>
          <w:iCs/>
          <w:sz w:val="22"/>
          <w:szCs w:val="22"/>
          <w:lang w:val="en-GB"/>
        </w:rPr>
        <w:t xml:space="preserve"> </w:t>
      </w:r>
      <w:r w:rsidR="00154082" w:rsidRPr="002160E3">
        <w:rPr>
          <w:rFonts w:asciiTheme="minorHAnsi" w:hAnsiTheme="minorHAnsi"/>
          <w:i/>
          <w:iCs/>
          <w:sz w:val="22"/>
          <w:szCs w:val="22"/>
          <w:lang w:val="en-GB"/>
        </w:rPr>
        <w:t>(Fig. in RO’000)</w:t>
      </w:r>
    </w:p>
    <w:p w14:paraId="1826C807" w14:textId="77777777" w:rsidR="00EF3478" w:rsidRPr="002160E3" w:rsidRDefault="00EF3478" w:rsidP="00D11738">
      <w:pPr>
        <w:pStyle w:val="BodyText"/>
        <w:jc w:val="left"/>
        <w:rPr>
          <w:rFonts w:asciiTheme="minorHAnsi" w:hAnsiTheme="minorHAnsi"/>
          <w:iCs/>
          <w:sz w:val="22"/>
          <w:szCs w:val="22"/>
          <w:lang w:val="en-GB"/>
        </w:rPr>
      </w:pPr>
    </w:p>
    <w:tbl>
      <w:tblPr>
        <w:tblStyle w:val="LightGrid-Accent1"/>
        <w:tblW w:w="0" w:type="auto"/>
        <w:tblInd w:w="2160" w:type="dxa"/>
        <w:tblLook w:val="04A0" w:firstRow="1" w:lastRow="0" w:firstColumn="1" w:lastColumn="0" w:noHBand="0" w:noVBand="1"/>
      </w:tblPr>
      <w:tblGrid>
        <w:gridCol w:w="2399"/>
        <w:gridCol w:w="1215"/>
        <w:gridCol w:w="1168"/>
      </w:tblGrid>
      <w:tr w:rsidR="00FB77D1" w:rsidRPr="002160E3" w14:paraId="63D13B16" w14:textId="77777777" w:rsidTr="00384430">
        <w:trPr>
          <w:cnfStyle w:val="100000000000" w:firstRow="1" w:lastRow="0" w:firstColumn="0" w:lastColumn="0" w:oddVBand="0" w:evenVBand="0" w:oddHBand="0" w:evenHBand="0" w:firstRowFirstColumn="0" w:firstRowLastColumn="0" w:lastRowFirstColumn="0" w:lastRowLastColumn="0"/>
          <w:trHeight w:hRule="exact" w:val="290"/>
        </w:trPr>
        <w:tc>
          <w:tcPr>
            <w:cnfStyle w:val="001000000000" w:firstRow="0" w:lastRow="0" w:firstColumn="1" w:lastColumn="0" w:oddVBand="0" w:evenVBand="0" w:oddHBand="0" w:evenHBand="0" w:firstRowFirstColumn="0" w:firstRowLastColumn="0" w:lastRowFirstColumn="0" w:lastRowLastColumn="0"/>
            <w:tcW w:w="0" w:type="auto"/>
          </w:tcPr>
          <w:p w14:paraId="22D467CC" w14:textId="77777777" w:rsidR="00FB77D1" w:rsidRPr="002160E3" w:rsidRDefault="00384430" w:rsidP="00D851D9">
            <w:pPr>
              <w:pStyle w:val="BodyText"/>
              <w:jc w:val="left"/>
              <w:rPr>
                <w:rFonts w:asciiTheme="minorHAnsi" w:hAnsiTheme="minorHAnsi"/>
                <w:iCs/>
                <w:sz w:val="22"/>
                <w:szCs w:val="22"/>
                <w:lang w:val="en-GB"/>
              </w:rPr>
            </w:pPr>
            <w:r w:rsidRPr="002160E3">
              <w:rPr>
                <w:rFonts w:asciiTheme="minorHAnsi" w:hAnsiTheme="minorHAnsi"/>
                <w:iCs/>
                <w:sz w:val="22"/>
                <w:szCs w:val="22"/>
                <w:lang w:val="en-GB"/>
              </w:rPr>
              <w:t>Investment Sector</w:t>
            </w:r>
          </w:p>
        </w:tc>
        <w:tc>
          <w:tcPr>
            <w:tcW w:w="0" w:type="auto"/>
          </w:tcPr>
          <w:p w14:paraId="499EB9E0" w14:textId="77777777" w:rsidR="00FB77D1" w:rsidRPr="002160E3" w:rsidRDefault="00FB77D1" w:rsidP="001B4B6E">
            <w:pPr>
              <w:pStyle w:val="BodyText"/>
              <w:jc w:val="left"/>
              <w:cnfStyle w:val="100000000000" w:firstRow="1" w:lastRow="0" w:firstColumn="0" w:lastColumn="0" w:oddVBand="0" w:evenVBand="0" w:oddHBand="0" w:evenHBand="0" w:firstRowFirstColumn="0" w:firstRowLastColumn="0" w:lastRowFirstColumn="0" w:lastRowLastColumn="0"/>
              <w:rPr>
                <w:rFonts w:asciiTheme="minorHAnsi" w:hAnsiTheme="minorHAnsi"/>
                <w:iCs/>
                <w:sz w:val="22"/>
                <w:szCs w:val="22"/>
                <w:lang w:val="en-GB"/>
              </w:rPr>
            </w:pPr>
            <w:r w:rsidRPr="002160E3">
              <w:rPr>
                <w:rFonts w:asciiTheme="minorHAnsi" w:hAnsiTheme="minorHAnsi"/>
                <w:iCs/>
                <w:sz w:val="22"/>
                <w:szCs w:val="22"/>
                <w:lang w:val="en-GB"/>
              </w:rPr>
              <w:t>FY201</w:t>
            </w:r>
            <w:r w:rsidR="001B4B6E" w:rsidRPr="002160E3">
              <w:rPr>
                <w:rFonts w:asciiTheme="minorHAnsi" w:hAnsiTheme="minorHAnsi"/>
                <w:iCs/>
                <w:sz w:val="22"/>
                <w:szCs w:val="22"/>
                <w:lang w:val="en-GB"/>
              </w:rPr>
              <w:t>4-15</w:t>
            </w:r>
          </w:p>
        </w:tc>
        <w:tc>
          <w:tcPr>
            <w:tcW w:w="0" w:type="auto"/>
          </w:tcPr>
          <w:p w14:paraId="694DAC20" w14:textId="77777777" w:rsidR="00FB77D1" w:rsidRPr="002160E3" w:rsidRDefault="00FB77D1" w:rsidP="001B4B6E">
            <w:pPr>
              <w:pStyle w:val="BodyText"/>
              <w:jc w:val="left"/>
              <w:cnfStyle w:val="100000000000" w:firstRow="1" w:lastRow="0" w:firstColumn="0" w:lastColumn="0" w:oddVBand="0" w:evenVBand="0" w:oddHBand="0" w:evenHBand="0" w:firstRowFirstColumn="0" w:firstRowLastColumn="0" w:lastRowFirstColumn="0" w:lastRowLastColumn="0"/>
              <w:rPr>
                <w:rFonts w:asciiTheme="minorHAnsi" w:hAnsiTheme="minorHAnsi"/>
                <w:iCs/>
                <w:sz w:val="22"/>
                <w:szCs w:val="22"/>
                <w:lang w:val="en-GB"/>
              </w:rPr>
            </w:pPr>
            <w:r w:rsidRPr="002160E3">
              <w:rPr>
                <w:rFonts w:asciiTheme="minorHAnsi" w:hAnsiTheme="minorHAnsi"/>
                <w:iCs/>
                <w:sz w:val="22"/>
                <w:szCs w:val="22"/>
                <w:lang w:val="en-GB"/>
              </w:rPr>
              <w:t>FY201</w:t>
            </w:r>
            <w:r w:rsidR="001B4B6E" w:rsidRPr="002160E3">
              <w:rPr>
                <w:rFonts w:asciiTheme="minorHAnsi" w:hAnsiTheme="minorHAnsi"/>
                <w:iCs/>
                <w:sz w:val="22"/>
                <w:szCs w:val="22"/>
                <w:lang w:val="en-GB"/>
              </w:rPr>
              <w:t>5</w:t>
            </w:r>
            <w:r w:rsidRPr="002160E3">
              <w:rPr>
                <w:rFonts w:asciiTheme="minorHAnsi" w:hAnsiTheme="minorHAnsi"/>
                <w:iCs/>
                <w:sz w:val="22"/>
                <w:szCs w:val="22"/>
                <w:lang w:val="en-GB"/>
              </w:rPr>
              <w:t>-1</w:t>
            </w:r>
            <w:r w:rsidR="001B4B6E" w:rsidRPr="002160E3">
              <w:rPr>
                <w:rFonts w:asciiTheme="minorHAnsi" w:hAnsiTheme="minorHAnsi"/>
                <w:iCs/>
                <w:sz w:val="22"/>
                <w:szCs w:val="22"/>
                <w:lang w:val="en-GB"/>
              </w:rPr>
              <w:t>6</w:t>
            </w:r>
          </w:p>
        </w:tc>
      </w:tr>
      <w:tr w:rsidR="00384430" w:rsidRPr="002160E3" w14:paraId="2FCA19EB" w14:textId="77777777" w:rsidTr="00384430">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0" w:type="auto"/>
          </w:tcPr>
          <w:p w14:paraId="6CD4B7AC" w14:textId="77777777" w:rsidR="00384430" w:rsidRPr="002160E3" w:rsidRDefault="00384430" w:rsidP="00761FAD">
            <w:pPr>
              <w:rPr>
                <w:rFonts w:asciiTheme="minorHAnsi" w:hAnsiTheme="minorHAnsi"/>
                <w:b w:val="0"/>
              </w:rPr>
            </w:pPr>
            <w:r w:rsidRPr="002160E3">
              <w:rPr>
                <w:rFonts w:asciiTheme="minorHAnsi" w:hAnsiTheme="minorHAnsi"/>
                <w:b w:val="0"/>
              </w:rPr>
              <w:t>Financial Services Sector</w:t>
            </w:r>
          </w:p>
        </w:tc>
        <w:tc>
          <w:tcPr>
            <w:tcW w:w="0" w:type="auto"/>
          </w:tcPr>
          <w:p w14:paraId="379724EA" w14:textId="77777777" w:rsidR="00384430" w:rsidRPr="002160E3" w:rsidRDefault="00384430" w:rsidP="007A59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160E3">
              <w:rPr>
                <w:rFonts w:asciiTheme="minorHAnsi" w:hAnsiTheme="minorHAnsi"/>
              </w:rPr>
              <w:t xml:space="preserve">       10,112 </w:t>
            </w:r>
          </w:p>
        </w:tc>
        <w:tc>
          <w:tcPr>
            <w:tcW w:w="0" w:type="auto"/>
            <w:vAlign w:val="center"/>
          </w:tcPr>
          <w:p w14:paraId="3C700059" w14:textId="77777777" w:rsidR="00384430" w:rsidRPr="002160E3" w:rsidRDefault="0038443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160E3">
              <w:rPr>
                <w:rFonts w:asciiTheme="minorHAnsi" w:hAnsiTheme="minorHAnsi"/>
                <w:color w:val="000000"/>
              </w:rPr>
              <w:t>27,384</w:t>
            </w:r>
          </w:p>
        </w:tc>
      </w:tr>
      <w:tr w:rsidR="00384430" w:rsidRPr="002160E3" w14:paraId="08AD7A1B" w14:textId="77777777" w:rsidTr="00384430">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0" w:type="auto"/>
          </w:tcPr>
          <w:p w14:paraId="77512010" w14:textId="77777777" w:rsidR="00384430" w:rsidRPr="002160E3" w:rsidRDefault="00384430" w:rsidP="00FF6C70">
            <w:pPr>
              <w:rPr>
                <w:rFonts w:asciiTheme="minorHAnsi" w:hAnsiTheme="minorHAnsi"/>
                <w:b w:val="0"/>
              </w:rPr>
            </w:pPr>
            <w:r w:rsidRPr="002160E3">
              <w:rPr>
                <w:rFonts w:asciiTheme="minorHAnsi" w:hAnsiTheme="minorHAnsi"/>
                <w:b w:val="0"/>
              </w:rPr>
              <w:t>Industrial Sector</w:t>
            </w:r>
          </w:p>
        </w:tc>
        <w:tc>
          <w:tcPr>
            <w:tcW w:w="0" w:type="auto"/>
          </w:tcPr>
          <w:p w14:paraId="7E4801E4" w14:textId="77777777" w:rsidR="00384430" w:rsidRPr="002160E3" w:rsidRDefault="00384430" w:rsidP="007A59FF">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160E3">
              <w:rPr>
                <w:rFonts w:asciiTheme="minorHAnsi" w:hAnsiTheme="minorHAnsi"/>
              </w:rPr>
              <w:t xml:space="preserve">         5,917 </w:t>
            </w:r>
          </w:p>
        </w:tc>
        <w:tc>
          <w:tcPr>
            <w:tcW w:w="0" w:type="auto"/>
            <w:vAlign w:val="center"/>
          </w:tcPr>
          <w:p w14:paraId="2B7D803D" w14:textId="77777777" w:rsidR="00384430" w:rsidRPr="002160E3" w:rsidRDefault="0038443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rPr>
            </w:pPr>
            <w:r w:rsidRPr="002160E3">
              <w:rPr>
                <w:rFonts w:asciiTheme="minorHAnsi" w:hAnsiTheme="minorHAnsi"/>
                <w:color w:val="000000"/>
              </w:rPr>
              <w:t>6,409</w:t>
            </w:r>
          </w:p>
        </w:tc>
      </w:tr>
      <w:tr w:rsidR="00384430" w:rsidRPr="002160E3" w14:paraId="6AFE8483" w14:textId="77777777" w:rsidTr="00384430">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0" w:type="auto"/>
          </w:tcPr>
          <w:p w14:paraId="02321E67" w14:textId="77777777" w:rsidR="00384430" w:rsidRPr="002160E3" w:rsidRDefault="00384430" w:rsidP="00761FAD">
            <w:pPr>
              <w:rPr>
                <w:rFonts w:asciiTheme="minorHAnsi" w:hAnsiTheme="minorHAnsi"/>
                <w:b w:val="0"/>
              </w:rPr>
            </w:pPr>
            <w:r w:rsidRPr="002160E3">
              <w:rPr>
                <w:rFonts w:asciiTheme="minorHAnsi" w:hAnsiTheme="minorHAnsi"/>
                <w:b w:val="0"/>
              </w:rPr>
              <w:t>Insurance Sector</w:t>
            </w:r>
          </w:p>
        </w:tc>
        <w:tc>
          <w:tcPr>
            <w:tcW w:w="0" w:type="auto"/>
          </w:tcPr>
          <w:p w14:paraId="57C4F88F" w14:textId="77777777" w:rsidR="00384430" w:rsidRPr="002160E3" w:rsidRDefault="00384430" w:rsidP="007A59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160E3">
              <w:rPr>
                <w:rFonts w:asciiTheme="minorHAnsi" w:hAnsiTheme="minorHAnsi"/>
              </w:rPr>
              <w:t xml:space="preserve">         4,514 </w:t>
            </w:r>
          </w:p>
        </w:tc>
        <w:tc>
          <w:tcPr>
            <w:tcW w:w="0" w:type="auto"/>
            <w:vAlign w:val="center"/>
          </w:tcPr>
          <w:p w14:paraId="3A80670F" w14:textId="77777777" w:rsidR="00384430" w:rsidRPr="002160E3" w:rsidRDefault="0038443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2160E3">
              <w:rPr>
                <w:rFonts w:asciiTheme="minorHAnsi" w:hAnsiTheme="minorHAnsi"/>
                <w:color w:val="000000"/>
              </w:rPr>
              <w:t>5,107</w:t>
            </w:r>
          </w:p>
        </w:tc>
      </w:tr>
      <w:tr w:rsidR="00384430" w:rsidRPr="002160E3" w14:paraId="01C1051D" w14:textId="77777777" w:rsidTr="00384430">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0" w:type="auto"/>
          </w:tcPr>
          <w:p w14:paraId="412E7C2B" w14:textId="77777777" w:rsidR="00384430" w:rsidRPr="002160E3" w:rsidRDefault="00384430" w:rsidP="00D4067D">
            <w:pPr>
              <w:rPr>
                <w:rFonts w:asciiTheme="minorHAnsi" w:hAnsiTheme="minorHAnsi"/>
                <w:b w:val="0"/>
              </w:rPr>
            </w:pPr>
            <w:r w:rsidRPr="002160E3">
              <w:rPr>
                <w:rFonts w:asciiTheme="minorHAnsi" w:hAnsiTheme="minorHAnsi"/>
                <w:b w:val="0"/>
              </w:rPr>
              <w:t>Services Sector</w:t>
            </w:r>
          </w:p>
        </w:tc>
        <w:tc>
          <w:tcPr>
            <w:tcW w:w="0" w:type="auto"/>
          </w:tcPr>
          <w:p w14:paraId="2F5E4AB9" w14:textId="77777777" w:rsidR="00384430" w:rsidRPr="002160E3" w:rsidRDefault="00384430" w:rsidP="00D4067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160E3">
              <w:rPr>
                <w:rFonts w:asciiTheme="minorHAnsi" w:hAnsiTheme="minorHAnsi"/>
              </w:rPr>
              <w:t xml:space="preserve">           537 </w:t>
            </w:r>
          </w:p>
        </w:tc>
        <w:tc>
          <w:tcPr>
            <w:tcW w:w="0" w:type="auto"/>
          </w:tcPr>
          <w:p w14:paraId="4F657186" w14:textId="77777777" w:rsidR="00384430" w:rsidRPr="002160E3" w:rsidRDefault="00384430" w:rsidP="00A5166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160E3">
              <w:rPr>
                <w:rFonts w:asciiTheme="minorHAnsi" w:hAnsiTheme="minorHAnsi"/>
              </w:rPr>
              <w:t>533</w:t>
            </w:r>
          </w:p>
        </w:tc>
      </w:tr>
      <w:tr w:rsidR="001B4B6E" w:rsidRPr="002160E3" w14:paraId="331250CF" w14:textId="77777777" w:rsidTr="00384430">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0" w:type="auto"/>
          </w:tcPr>
          <w:p w14:paraId="64EDDE6F" w14:textId="77777777" w:rsidR="001B4B6E" w:rsidRPr="002160E3" w:rsidRDefault="00384430" w:rsidP="00761FAD">
            <w:pPr>
              <w:rPr>
                <w:rFonts w:asciiTheme="minorHAnsi" w:hAnsiTheme="minorHAnsi"/>
                <w:b w:val="0"/>
              </w:rPr>
            </w:pPr>
            <w:r w:rsidRPr="002160E3">
              <w:rPr>
                <w:rFonts w:asciiTheme="minorHAnsi" w:hAnsiTheme="minorHAnsi"/>
                <w:b w:val="0"/>
              </w:rPr>
              <w:t>Cash &amp; Bank Deposits</w:t>
            </w:r>
          </w:p>
        </w:tc>
        <w:tc>
          <w:tcPr>
            <w:tcW w:w="0" w:type="auto"/>
          </w:tcPr>
          <w:p w14:paraId="147B2B4F" w14:textId="77777777" w:rsidR="001B4B6E" w:rsidRPr="002160E3" w:rsidRDefault="001B4B6E" w:rsidP="0038443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160E3">
              <w:rPr>
                <w:rFonts w:asciiTheme="minorHAnsi" w:hAnsiTheme="minorHAnsi"/>
              </w:rPr>
              <w:t xml:space="preserve">          </w:t>
            </w:r>
            <w:r w:rsidR="00384430" w:rsidRPr="002160E3">
              <w:rPr>
                <w:rFonts w:asciiTheme="minorHAnsi" w:hAnsiTheme="minorHAnsi"/>
              </w:rPr>
              <w:t>4,322</w:t>
            </w:r>
            <w:r w:rsidRPr="002160E3">
              <w:rPr>
                <w:rFonts w:asciiTheme="minorHAnsi" w:hAnsiTheme="minorHAnsi"/>
              </w:rPr>
              <w:t xml:space="preserve"> </w:t>
            </w:r>
          </w:p>
        </w:tc>
        <w:tc>
          <w:tcPr>
            <w:tcW w:w="0" w:type="auto"/>
          </w:tcPr>
          <w:p w14:paraId="54393E27" w14:textId="77777777" w:rsidR="001B4B6E" w:rsidRPr="002160E3" w:rsidRDefault="00384430" w:rsidP="00086AE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160E3">
              <w:rPr>
                <w:rFonts w:asciiTheme="minorHAnsi" w:hAnsiTheme="minorHAnsi"/>
              </w:rPr>
              <w:t>119</w:t>
            </w:r>
          </w:p>
        </w:tc>
      </w:tr>
      <w:tr w:rsidR="001B4B6E" w:rsidRPr="002160E3" w14:paraId="69F34D77" w14:textId="77777777" w:rsidTr="00384430">
        <w:trPr>
          <w:cnfStyle w:val="000000010000" w:firstRow="0" w:lastRow="0" w:firstColumn="0" w:lastColumn="0" w:oddVBand="0" w:evenVBand="0" w:oddHBand="0" w:evenHBand="1"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0" w:type="auto"/>
          </w:tcPr>
          <w:p w14:paraId="60B2EB97" w14:textId="77777777" w:rsidR="001B4B6E" w:rsidRPr="002160E3" w:rsidRDefault="001B4B6E" w:rsidP="00D851D9">
            <w:pPr>
              <w:rPr>
                <w:rFonts w:asciiTheme="minorHAnsi" w:hAnsiTheme="minorHAnsi"/>
              </w:rPr>
            </w:pPr>
            <w:r w:rsidRPr="002160E3">
              <w:rPr>
                <w:rFonts w:asciiTheme="minorHAnsi" w:hAnsiTheme="minorHAnsi"/>
              </w:rPr>
              <w:t>Total</w:t>
            </w:r>
          </w:p>
        </w:tc>
        <w:tc>
          <w:tcPr>
            <w:tcW w:w="0" w:type="auto"/>
          </w:tcPr>
          <w:p w14:paraId="4B04EA41" w14:textId="77777777" w:rsidR="001B4B6E" w:rsidRPr="002160E3" w:rsidRDefault="001B4B6E" w:rsidP="007A59FF">
            <w:pPr>
              <w:jc w:val="right"/>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ajorBidi"/>
                <w:b/>
                <w:bCs/>
              </w:rPr>
            </w:pPr>
            <w:r w:rsidRPr="002160E3">
              <w:rPr>
                <w:rFonts w:asciiTheme="minorHAnsi" w:eastAsiaTheme="majorEastAsia" w:hAnsiTheme="minorHAnsi" w:cstheme="majorBidi"/>
                <w:b/>
                <w:bCs/>
              </w:rPr>
              <w:t>25,402</w:t>
            </w:r>
          </w:p>
        </w:tc>
        <w:tc>
          <w:tcPr>
            <w:tcW w:w="0" w:type="auto"/>
          </w:tcPr>
          <w:p w14:paraId="169B96C2" w14:textId="77777777" w:rsidR="001B4B6E" w:rsidRPr="002160E3" w:rsidRDefault="00384430" w:rsidP="00086AE9">
            <w:pPr>
              <w:jc w:val="right"/>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cstheme="majorBidi"/>
                <w:b/>
                <w:bCs/>
              </w:rPr>
            </w:pPr>
            <w:r w:rsidRPr="002160E3">
              <w:rPr>
                <w:rFonts w:asciiTheme="minorHAnsi" w:eastAsiaTheme="majorEastAsia" w:hAnsiTheme="minorHAnsi" w:cstheme="majorBidi"/>
                <w:b/>
                <w:bCs/>
              </w:rPr>
              <w:t>39,552</w:t>
            </w:r>
          </w:p>
        </w:tc>
      </w:tr>
    </w:tbl>
    <w:p w14:paraId="35EFC8E4" w14:textId="77777777" w:rsidR="00EF3478" w:rsidRDefault="00EF3478" w:rsidP="00DF5D84">
      <w:pPr>
        <w:pStyle w:val="NoSpacing"/>
        <w:ind w:left="1440" w:firstLine="720"/>
        <w:rPr>
          <w:rFonts w:asciiTheme="minorHAnsi" w:hAnsiTheme="minorHAnsi"/>
        </w:rPr>
      </w:pPr>
    </w:p>
    <w:p w14:paraId="4AFA9391" w14:textId="77777777" w:rsidR="000D3C70" w:rsidRDefault="000D3C70" w:rsidP="00DF5D84">
      <w:pPr>
        <w:pStyle w:val="NoSpacing"/>
        <w:ind w:left="1440" w:firstLine="720"/>
        <w:rPr>
          <w:rFonts w:asciiTheme="minorHAnsi" w:hAnsiTheme="minorHAnsi"/>
        </w:rPr>
      </w:pPr>
    </w:p>
    <w:p w14:paraId="09FBF91F" w14:textId="77777777" w:rsidR="000D3C70" w:rsidRDefault="000D3C70" w:rsidP="00DF5D84">
      <w:pPr>
        <w:pStyle w:val="NoSpacing"/>
        <w:ind w:left="1440" w:firstLine="720"/>
        <w:rPr>
          <w:rFonts w:asciiTheme="minorHAnsi" w:hAnsiTheme="minorHAnsi"/>
        </w:rPr>
      </w:pPr>
    </w:p>
    <w:p w14:paraId="2290CCC4" w14:textId="77777777" w:rsidR="000D3C70" w:rsidRDefault="000D3C70" w:rsidP="00DF5D84">
      <w:pPr>
        <w:pStyle w:val="NoSpacing"/>
        <w:ind w:left="1440" w:firstLine="720"/>
        <w:rPr>
          <w:rFonts w:asciiTheme="minorHAnsi" w:hAnsiTheme="minorHAnsi"/>
        </w:rPr>
      </w:pPr>
    </w:p>
    <w:p w14:paraId="280C3F04" w14:textId="77777777" w:rsidR="000D3C70" w:rsidRDefault="000D3C70" w:rsidP="00DF5D84">
      <w:pPr>
        <w:pStyle w:val="NoSpacing"/>
        <w:ind w:left="1440" w:firstLine="720"/>
        <w:rPr>
          <w:rFonts w:asciiTheme="minorHAnsi" w:hAnsiTheme="minorHAnsi"/>
        </w:rPr>
      </w:pPr>
    </w:p>
    <w:p w14:paraId="67A3D5A7" w14:textId="77777777" w:rsidR="000D3C70" w:rsidRPr="002160E3" w:rsidRDefault="000D3C70" w:rsidP="00DF5D84">
      <w:pPr>
        <w:pStyle w:val="NoSpacing"/>
        <w:ind w:left="1440" w:firstLine="720"/>
        <w:rPr>
          <w:rFonts w:asciiTheme="minorHAnsi" w:hAnsiTheme="minorHAnsi"/>
        </w:rPr>
      </w:pPr>
    </w:p>
    <w:p w14:paraId="13486148" w14:textId="77777777" w:rsidR="00EF3478" w:rsidRPr="002160E3" w:rsidRDefault="00EF3478" w:rsidP="00C713DB">
      <w:pPr>
        <w:pStyle w:val="NoSpacing"/>
        <w:ind w:left="1440" w:firstLine="720"/>
        <w:rPr>
          <w:rFonts w:asciiTheme="minorHAnsi" w:hAnsiTheme="minorHAnsi"/>
          <w:b/>
          <w:sz w:val="22"/>
          <w:szCs w:val="22"/>
          <w:u w:val="single"/>
        </w:rPr>
      </w:pPr>
      <w:r w:rsidRPr="002160E3">
        <w:rPr>
          <w:rFonts w:asciiTheme="minorHAnsi" w:hAnsiTheme="minorHAnsi"/>
          <w:b/>
          <w:sz w:val="22"/>
          <w:szCs w:val="22"/>
          <w:u w:val="single"/>
        </w:rPr>
        <w:t>AAH Investment Portfolio as at 31</w:t>
      </w:r>
      <w:r w:rsidRPr="002160E3">
        <w:rPr>
          <w:rFonts w:asciiTheme="minorHAnsi" w:hAnsiTheme="minorHAnsi"/>
          <w:b/>
          <w:sz w:val="22"/>
          <w:szCs w:val="22"/>
          <w:u w:val="single"/>
          <w:vertAlign w:val="superscript"/>
        </w:rPr>
        <w:t>st</w:t>
      </w:r>
      <w:r w:rsidRPr="002160E3">
        <w:rPr>
          <w:rFonts w:asciiTheme="minorHAnsi" w:hAnsiTheme="minorHAnsi"/>
          <w:b/>
          <w:sz w:val="22"/>
          <w:szCs w:val="22"/>
          <w:u w:val="single"/>
        </w:rPr>
        <w:t xml:space="preserve"> March 201</w:t>
      </w:r>
      <w:r w:rsidR="00DE5F32" w:rsidRPr="002160E3">
        <w:rPr>
          <w:rFonts w:asciiTheme="minorHAnsi" w:hAnsiTheme="minorHAnsi"/>
          <w:b/>
          <w:sz w:val="22"/>
          <w:szCs w:val="22"/>
          <w:u w:val="single"/>
        </w:rPr>
        <w:t>6</w:t>
      </w:r>
      <w:r w:rsidRPr="002160E3">
        <w:rPr>
          <w:rFonts w:asciiTheme="minorHAnsi" w:hAnsiTheme="minorHAnsi"/>
          <w:b/>
          <w:sz w:val="22"/>
          <w:szCs w:val="22"/>
          <w:u w:val="single"/>
        </w:rPr>
        <w:t>: RO</w:t>
      </w:r>
      <w:r w:rsidR="00384430" w:rsidRPr="002160E3">
        <w:rPr>
          <w:rFonts w:asciiTheme="minorHAnsi" w:hAnsiTheme="minorHAnsi"/>
          <w:b/>
          <w:sz w:val="22"/>
          <w:szCs w:val="22"/>
          <w:u w:val="single"/>
        </w:rPr>
        <w:t xml:space="preserve"> 39</w:t>
      </w:r>
      <w:r w:rsidRPr="002160E3">
        <w:rPr>
          <w:rFonts w:asciiTheme="minorHAnsi" w:hAnsiTheme="minorHAnsi"/>
          <w:b/>
          <w:sz w:val="22"/>
          <w:szCs w:val="22"/>
          <w:u w:val="single"/>
        </w:rPr>
        <w:t>.</w:t>
      </w:r>
      <w:r w:rsidR="00384430" w:rsidRPr="002160E3">
        <w:rPr>
          <w:rFonts w:asciiTheme="minorHAnsi" w:hAnsiTheme="minorHAnsi"/>
          <w:b/>
          <w:sz w:val="22"/>
          <w:szCs w:val="22"/>
          <w:u w:val="single"/>
        </w:rPr>
        <w:t>55</w:t>
      </w:r>
      <w:r w:rsidRPr="002160E3">
        <w:rPr>
          <w:rFonts w:asciiTheme="minorHAnsi" w:hAnsiTheme="minorHAnsi"/>
          <w:b/>
          <w:sz w:val="22"/>
          <w:szCs w:val="22"/>
          <w:u w:val="single"/>
        </w:rPr>
        <w:t>mn</w:t>
      </w:r>
    </w:p>
    <w:p w14:paraId="5AC8B310" w14:textId="77777777" w:rsidR="00384430" w:rsidRPr="002160E3" w:rsidRDefault="00384430" w:rsidP="00384430">
      <w:pPr>
        <w:pStyle w:val="NoSpacing"/>
        <w:ind w:left="1440" w:firstLine="720"/>
        <w:rPr>
          <w:rFonts w:asciiTheme="minorHAnsi" w:hAnsiTheme="minorHAnsi"/>
          <w:b/>
          <w:sz w:val="22"/>
          <w:szCs w:val="22"/>
          <w:u w:val="single"/>
        </w:rPr>
      </w:pPr>
    </w:p>
    <w:p w14:paraId="608A5795" w14:textId="77777777" w:rsidR="00FF5C4C" w:rsidRPr="002160E3" w:rsidRDefault="00384430" w:rsidP="00EF3478">
      <w:pPr>
        <w:pStyle w:val="NoSpacing"/>
        <w:ind w:left="1440" w:firstLine="720"/>
        <w:rPr>
          <w:rFonts w:asciiTheme="minorHAnsi" w:hAnsiTheme="minorHAnsi"/>
          <w:b/>
          <w:sz w:val="22"/>
          <w:szCs w:val="22"/>
          <w:u w:val="single"/>
        </w:rPr>
      </w:pPr>
      <w:r w:rsidRPr="002160E3">
        <w:rPr>
          <w:rFonts w:asciiTheme="minorHAnsi" w:hAnsiTheme="minorHAnsi"/>
          <w:noProof/>
          <w:lang w:val="en-US" w:eastAsia="en-US"/>
        </w:rPr>
        <w:drawing>
          <wp:inline distT="0" distB="0" distL="0" distR="0" wp14:anchorId="135D8DA9" wp14:editId="0710523B">
            <wp:extent cx="3390900" cy="18669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4EE91D" w14:textId="77777777" w:rsidR="00384430" w:rsidRPr="002160E3" w:rsidRDefault="00384430" w:rsidP="00384430">
      <w:pPr>
        <w:pStyle w:val="NoSpacing"/>
        <w:ind w:left="720" w:firstLine="720"/>
        <w:rPr>
          <w:rFonts w:asciiTheme="minorHAnsi" w:hAnsiTheme="minorHAnsi"/>
          <w:b/>
          <w:sz w:val="22"/>
          <w:szCs w:val="22"/>
          <w:u w:val="single"/>
        </w:rPr>
      </w:pPr>
    </w:p>
    <w:p w14:paraId="0C51CC4A" w14:textId="77777777" w:rsidR="00673DC6" w:rsidRPr="002160E3" w:rsidRDefault="00673DC6" w:rsidP="005532F5">
      <w:pPr>
        <w:jc w:val="center"/>
        <w:rPr>
          <w:rFonts w:asciiTheme="minorHAnsi" w:hAnsiTheme="minorHAnsi"/>
          <w:b/>
          <w:lang w:val="en-GB"/>
        </w:rPr>
      </w:pPr>
    </w:p>
    <w:p w14:paraId="3916E2B0" w14:textId="77777777" w:rsidR="007309D4" w:rsidRPr="002160E3" w:rsidRDefault="0015214A" w:rsidP="006B2806">
      <w:pPr>
        <w:pStyle w:val="Title"/>
        <w:rPr>
          <w:rFonts w:asciiTheme="minorHAnsi" w:hAnsiTheme="minorHAnsi"/>
          <w:sz w:val="28"/>
          <w:szCs w:val="28"/>
          <w:lang w:val="en-GB"/>
        </w:rPr>
      </w:pPr>
      <w:r w:rsidRPr="002160E3">
        <w:rPr>
          <w:rFonts w:asciiTheme="minorHAnsi" w:hAnsiTheme="minorHAnsi"/>
          <w:sz w:val="28"/>
          <w:szCs w:val="28"/>
          <w:lang w:val="en-GB"/>
        </w:rPr>
        <w:t>KEY</w:t>
      </w:r>
      <w:r w:rsidR="007309D4" w:rsidRPr="002160E3">
        <w:rPr>
          <w:rFonts w:asciiTheme="minorHAnsi" w:hAnsiTheme="minorHAnsi"/>
          <w:sz w:val="28"/>
          <w:szCs w:val="28"/>
          <w:lang w:val="en-GB"/>
        </w:rPr>
        <w:t xml:space="preserve"> </w:t>
      </w:r>
      <w:r w:rsidRPr="002160E3">
        <w:rPr>
          <w:rFonts w:asciiTheme="minorHAnsi" w:hAnsiTheme="minorHAnsi"/>
          <w:sz w:val="28"/>
          <w:szCs w:val="28"/>
          <w:lang w:val="en-GB"/>
        </w:rPr>
        <w:t>DEVELOPMENTS:</w:t>
      </w:r>
      <w:r w:rsidR="001D3591" w:rsidRPr="002160E3">
        <w:rPr>
          <w:rFonts w:asciiTheme="minorHAnsi" w:hAnsiTheme="minorHAnsi"/>
          <w:sz w:val="28"/>
          <w:szCs w:val="28"/>
          <w:lang w:val="en-GB"/>
        </w:rPr>
        <w:t xml:space="preserve"> </w:t>
      </w:r>
    </w:p>
    <w:p w14:paraId="3E034F6E" w14:textId="77777777" w:rsidR="00041E98" w:rsidRPr="002160E3" w:rsidRDefault="00CE3E3D" w:rsidP="00F50500">
      <w:pPr>
        <w:jc w:val="both"/>
        <w:rPr>
          <w:rFonts w:asciiTheme="minorHAnsi" w:hAnsiTheme="minorHAnsi"/>
        </w:rPr>
      </w:pPr>
      <w:r w:rsidRPr="002160E3">
        <w:rPr>
          <w:rFonts w:asciiTheme="minorHAnsi" w:hAnsiTheme="minorHAnsi"/>
          <w:lang w:val="en-GB"/>
        </w:rPr>
        <w:t>FY</w:t>
      </w:r>
      <w:r w:rsidR="00957D01" w:rsidRPr="002160E3">
        <w:rPr>
          <w:rFonts w:asciiTheme="minorHAnsi" w:hAnsiTheme="minorHAnsi"/>
          <w:lang w:val="en-GB"/>
        </w:rPr>
        <w:t>201</w:t>
      </w:r>
      <w:r w:rsidR="006B2806" w:rsidRPr="002160E3">
        <w:rPr>
          <w:rFonts w:asciiTheme="minorHAnsi" w:hAnsiTheme="minorHAnsi"/>
          <w:lang w:val="en-GB"/>
        </w:rPr>
        <w:t>5</w:t>
      </w:r>
      <w:r w:rsidRPr="002160E3">
        <w:rPr>
          <w:rFonts w:asciiTheme="minorHAnsi" w:hAnsiTheme="minorHAnsi"/>
          <w:lang w:val="en-GB"/>
        </w:rPr>
        <w:t>-1</w:t>
      </w:r>
      <w:r w:rsidR="006B2806" w:rsidRPr="002160E3">
        <w:rPr>
          <w:rFonts w:asciiTheme="minorHAnsi" w:hAnsiTheme="minorHAnsi"/>
          <w:lang w:val="en-GB"/>
        </w:rPr>
        <w:t>6</w:t>
      </w:r>
      <w:r w:rsidR="00957D01" w:rsidRPr="002160E3">
        <w:rPr>
          <w:rFonts w:asciiTheme="minorHAnsi" w:hAnsiTheme="minorHAnsi"/>
          <w:lang w:val="en-GB"/>
        </w:rPr>
        <w:t xml:space="preserve"> was yet another excellent year for </w:t>
      </w:r>
      <w:r w:rsidR="00F23FA1" w:rsidRPr="002160E3">
        <w:rPr>
          <w:rFonts w:asciiTheme="minorHAnsi" w:hAnsiTheme="minorHAnsi"/>
          <w:lang w:val="en-GB"/>
        </w:rPr>
        <w:t>the company</w:t>
      </w:r>
      <w:r w:rsidR="00957D01" w:rsidRPr="002160E3">
        <w:rPr>
          <w:rFonts w:asciiTheme="minorHAnsi" w:hAnsiTheme="minorHAnsi"/>
          <w:lang w:val="en-GB"/>
        </w:rPr>
        <w:t xml:space="preserve"> as it continued to evolve and make its mark on the investment landscape of Oman</w:t>
      </w:r>
      <w:r w:rsidR="000310E4" w:rsidRPr="002160E3">
        <w:rPr>
          <w:rFonts w:asciiTheme="minorHAnsi" w:hAnsiTheme="minorHAnsi"/>
          <w:lang w:val="en-GB"/>
        </w:rPr>
        <w:t xml:space="preserve"> and recorded its best-ever profit numbers in its history. </w:t>
      </w:r>
      <w:r w:rsidR="009805CA" w:rsidRPr="002160E3">
        <w:rPr>
          <w:rFonts w:asciiTheme="minorHAnsi" w:hAnsiTheme="minorHAnsi"/>
          <w:lang w:val="en-GB"/>
        </w:rPr>
        <w:t>These results are a direct consequence of prudent implementation of Company’s business strategies and its commitment to a sustainable business model in the interest of all its counterparties and stakeholders.</w:t>
      </w:r>
      <w:r w:rsidR="00957D01" w:rsidRPr="002160E3">
        <w:rPr>
          <w:rFonts w:asciiTheme="minorHAnsi" w:hAnsiTheme="minorHAnsi"/>
          <w:lang w:val="en-GB"/>
        </w:rPr>
        <w:t xml:space="preserve"> </w:t>
      </w:r>
      <w:r w:rsidR="00912E19" w:rsidRPr="002160E3">
        <w:rPr>
          <w:rFonts w:asciiTheme="minorHAnsi" w:hAnsiTheme="minorHAnsi"/>
          <w:lang w:val="en-GB"/>
        </w:rPr>
        <w:t xml:space="preserve">All our major investee companies did well. We feel that we are </w:t>
      </w:r>
      <w:r w:rsidR="005D128B" w:rsidRPr="002160E3">
        <w:rPr>
          <w:rFonts w:asciiTheme="minorHAnsi" w:hAnsiTheme="minorHAnsi"/>
          <w:lang w:val="en-GB"/>
        </w:rPr>
        <w:t>geared for the future</w:t>
      </w:r>
      <w:r w:rsidR="00912E19" w:rsidRPr="002160E3">
        <w:rPr>
          <w:rFonts w:asciiTheme="minorHAnsi" w:hAnsiTheme="minorHAnsi"/>
          <w:lang w:val="en-GB"/>
        </w:rPr>
        <w:t xml:space="preserve"> but at the same time we will have a cautious approach.  We will continue our diligent and conservative approach</w:t>
      </w:r>
      <w:r w:rsidR="002F1C1B" w:rsidRPr="002160E3">
        <w:rPr>
          <w:rFonts w:asciiTheme="minorHAnsi" w:hAnsiTheme="minorHAnsi"/>
        </w:rPr>
        <w:t>.</w:t>
      </w:r>
      <w:r w:rsidR="0015214A" w:rsidRPr="002160E3">
        <w:rPr>
          <w:rFonts w:asciiTheme="minorHAnsi" w:hAnsiTheme="minorHAnsi"/>
        </w:rPr>
        <w:t xml:space="preserve"> </w:t>
      </w:r>
    </w:p>
    <w:p w14:paraId="200B1278" w14:textId="77777777" w:rsidR="00571705" w:rsidRPr="002160E3" w:rsidRDefault="00571705" w:rsidP="005B11D0">
      <w:pPr>
        <w:pStyle w:val="NoSpacing"/>
        <w:ind w:left="720"/>
        <w:jc w:val="both"/>
        <w:rPr>
          <w:rFonts w:asciiTheme="minorHAnsi" w:hAnsiTheme="minorHAnsi"/>
          <w:sz w:val="22"/>
          <w:szCs w:val="24"/>
        </w:rPr>
      </w:pPr>
    </w:p>
    <w:p w14:paraId="63D04176" w14:textId="77777777" w:rsidR="00571705" w:rsidRPr="002160E3" w:rsidRDefault="00571705" w:rsidP="00571705">
      <w:pPr>
        <w:pStyle w:val="NoSpacing"/>
        <w:numPr>
          <w:ilvl w:val="0"/>
          <w:numId w:val="25"/>
        </w:numPr>
        <w:jc w:val="both"/>
        <w:rPr>
          <w:rFonts w:asciiTheme="minorHAnsi" w:hAnsiTheme="minorHAnsi"/>
          <w:b/>
          <w:sz w:val="22"/>
          <w:szCs w:val="24"/>
        </w:rPr>
      </w:pPr>
      <w:r w:rsidRPr="002160E3">
        <w:rPr>
          <w:rFonts w:asciiTheme="minorHAnsi" w:hAnsiTheme="minorHAnsi"/>
          <w:b/>
          <w:sz w:val="22"/>
          <w:szCs w:val="24"/>
        </w:rPr>
        <w:t>Strategic Stake in OMINVEST:</w:t>
      </w:r>
    </w:p>
    <w:p w14:paraId="476C2ABA" w14:textId="77777777" w:rsidR="00005E68" w:rsidRPr="002160E3" w:rsidRDefault="005C14B4" w:rsidP="00571705">
      <w:pPr>
        <w:ind w:left="720"/>
        <w:jc w:val="both"/>
        <w:rPr>
          <w:rFonts w:asciiTheme="minorHAnsi" w:hAnsiTheme="minorHAnsi"/>
          <w:lang w:val="en-GB"/>
        </w:rPr>
      </w:pPr>
      <w:r w:rsidRPr="002160E3">
        <w:rPr>
          <w:rFonts w:asciiTheme="minorHAnsi" w:hAnsiTheme="minorHAnsi"/>
          <w:lang w:val="en-GB"/>
        </w:rPr>
        <w:t xml:space="preserve">Identifying valuation opportunities in the MSM universe, we have built up a strategic stake of over </w:t>
      </w:r>
      <w:r w:rsidR="00D54BE7" w:rsidRPr="002160E3">
        <w:rPr>
          <w:rFonts w:asciiTheme="minorHAnsi" w:hAnsiTheme="minorHAnsi"/>
          <w:lang w:val="en-GB"/>
        </w:rPr>
        <w:t>9.00</w:t>
      </w:r>
      <w:r w:rsidRPr="002160E3">
        <w:rPr>
          <w:rFonts w:asciiTheme="minorHAnsi" w:hAnsiTheme="minorHAnsi"/>
          <w:lang w:val="en-GB"/>
        </w:rPr>
        <w:t>% in</w:t>
      </w:r>
      <w:r w:rsidR="00D54BE7" w:rsidRPr="002160E3">
        <w:rPr>
          <w:rFonts w:asciiTheme="minorHAnsi" w:hAnsiTheme="minorHAnsi"/>
          <w:lang w:val="en-GB"/>
        </w:rPr>
        <w:t xml:space="preserve"> OMIVEST and presently are the fourth</w:t>
      </w:r>
      <w:r w:rsidRPr="002160E3">
        <w:rPr>
          <w:rFonts w:asciiTheme="minorHAnsi" w:hAnsiTheme="minorHAnsi"/>
          <w:lang w:val="en-GB"/>
        </w:rPr>
        <w:t xml:space="preserve"> largest shareholder in the Company. </w:t>
      </w:r>
    </w:p>
    <w:p w14:paraId="1BAFF9C3" w14:textId="77777777" w:rsidR="00D54BE7" w:rsidRPr="002160E3" w:rsidRDefault="00D54BE7" w:rsidP="00D54BE7">
      <w:pPr>
        <w:pStyle w:val="NoSpacing"/>
        <w:numPr>
          <w:ilvl w:val="0"/>
          <w:numId w:val="25"/>
        </w:numPr>
        <w:jc w:val="both"/>
        <w:rPr>
          <w:rFonts w:asciiTheme="minorHAnsi" w:hAnsiTheme="minorHAnsi"/>
          <w:b/>
          <w:sz w:val="22"/>
          <w:szCs w:val="24"/>
        </w:rPr>
      </w:pPr>
      <w:r w:rsidRPr="002160E3">
        <w:rPr>
          <w:rFonts w:asciiTheme="minorHAnsi" w:hAnsiTheme="minorHAnsi"/>
          <w:b/>
          <w:sz w:val="22"/>
          <w:szCs w:val="24"/>
        </w:rPr>
        <w:t>Falcon Stake Sale:</w:t>
      </w:r>
    </w:p>
    <w:p w14:paraId="490D7FA9" w14:textId="77777777" w:rsidR="00D54BE7" w:rsidRPr="002160E3" w:rsidRDefault="001B4B6E" w:rsidP="00D54BE7">
      <w:pPr>
        <w:ind w:left="720"/>
        <w:jc w:val="both"/>
        <w:rPr>
          <w:rFonts w:asciiTheme="minorHAnsi" w:hAnsiTheme="minorHAnsi"/>
          <w:lang w:val="en-GB"/>
        </w:rPr>
      </w:pPr>
      <w:r w:rsidRPr="002160E3">
        <w:rPr>
          <w:rFonts w:asciiTheme="minorHAnsi" w:hAnsiTheme="minorHAnsi"/>
          <w:lang w:val="en-GB"/>
        </w:rPr>
        <w:t>We are in the process of selling a substantial portion of our 51.0% stake in Falcon Insurance Co. SAOC at an opportune price consideration of 1.20X P/BV on the audited financials as of 31</w:t>
      </w:r>
      <w:r w:rsidRPr="002160E3">
        <w:rPr>
          <w:rFonts w:asciiTheme="minorHAnsi" w:hAnsiTheme="minorHAnsi"/>
          <w:vertAlign w:val="superscript"/>
          <w:lang w:val="en-GB"/>
        </w:rPr>
        <w:t>st</w:t>
      </w:r>
      <w:r w:rsidRPr="002160E3">
        <w:rPr>
          <w:rFonts w:asciiTheme="minorHAnsi" w:hAnsiTheme="minorHAnsi"/>
          <w:lang w:val="en-GB"/>
        </w:rPr>
        <w:t xml:space="preserve"> Dec. 2015.</w:t>
      </w:r>
    </w:p>
    <w:p w14:paraId="25E75DB9" w14:textId="77777777" w:rsidR="001B4B6E" w:rsidRPr="002160E3" w:rsidRDefault="001B4B6E" w:rsidP="001B4B6E">
      <w:pPr>
        <w:pStyle w:val="ListParagraph"/>
        <w:numPr>
          <w:ilvl w:val="0"/>
          <w:numId w:val="25"/>
        </w:numPr>
        <w:jc w:val="both"/>
        <w:rPr>
          <w:rFonts w:asciiTheme="minorHAnsi" w:hAnsiTheme="minorHAnsi"/>
          <w:b/>
          <w:lang w:val="en-GB"/>
        </w:rPr>
      </w:pPr>
      <w:r w:rsidRPr="002160E3">
        <w:rPr>
          <w:rFonts w:asciiTheme="minorHAnsi" w:hAnsiTheme="minorHAnsi"/>
          <w:b/>
          <w:lang w:val="en-GB"/>
        </w:rPr>
        <w:t>Development of Falcon Land:</w:t>
      </w:r>
    </w:p>
    <w:p w14:paraId="38034831" w14:textId="77777777" w:rsidR="001B4B6E" w:rsidRPr="002160E3" w:rsidRDefault="001B4B6E" w:rsidP="001B4B6E">
      <w:pPr>
        <w:pStyle w:val="ListParagraph"/>
        <w:jc w:val="both"/>
        <w:rPr>
          <w:rFonts w:asciiTheme="minorHAnsi" w:hAnsiTheme="minorHAnsi"/>
          <w:lang w:val="en-GB"/>
        </w:rPr>
      </w:pPr>
      <w:r w:rsidRPr="002160E3">
        <w:rPr>
          <w:rFonts w:asciiTheme="minorHAnsi" w:hAnsiTheme="minorHAnsi"/>
          <w:lang w:val="en-GB"/>
        </w:rPr>
        <w:t xml:space="preserve">Capitalizing on the current subdued markets, we </w:t>
      </w:r>
      <w:r w:rsidR="000D3C70">
        <w:rPr>
          <w:rFonts w:asciiTheme="minorHAnsi" w:hAnsiTheme="minorHAnsi"/>
          <w:lang w:val="en-GB"/>
        </w:rPr>
        <w:t>are in the process of purchase</w:t>
      </w:r>
      <w:r w:rsidRPr="002160E3">
        <w:rPr>
          <w:rFonts w:asciiTheme="minorHAnsi" w:hAnsiTheme="minorHAnsi"/>
          <w:lang w:val="en-GB"/>
        </w:rPr>
        <w:t xml:space="preserve"> </w:t>
      </w:r>
      <w:r w:rsidR="000D3C70">
        <w:rPr>
          <w:rFonts w:asciiTheme="minorHAnsi" w:hAnsiTheme="minorHAnsi"/>
          <w:lang w:val="en-GB"/>
        </w:rPr>
        <w:t xml:space="preserve">of </w:t>
      </w:r>
      <w:r w:rsidRPr="002160E3">
        <w:rPr>
          <w:rFonts w:asciiTheme="minorHAnsi" w:hAnsiTheme="minorHAnsi"/>
          <w:lang w:val="en-GB"/>
        </w:rPr>
        <w:t>plot of land held in our subsidiary Falcon Insurance and intent to monetize it by commercial development.</w:t>
      </w:r>
    </w:p>
    <w:p w14:paraId="70F54C4D" w14:textId="77777777" w:rsidR="00BB2159" w:rsidRPr="002160E3" w:rsidRDefault="00BB2159" w:rsidP="006B2806">
      <w:pPr>
        <w:pStyle w:val="Title"/>
        <w:rPr>
          <w:rFonts w:asciiTheme="minorHAnsi" w:hAnsiTheme="minorHAnsi"/>
          <w:sz w:val="28"/>
          <w:szCs w:val="28"/>
          <w:lang w:val="en-GB"/>
        </w:rPr>
      </w:pPr>
      <w:r w:rsidRPr="002160E3">
        <w:rPr>
          <w:rFonts w:asciiTheme="minorHAnsi" w:hAnsiTheme="minorHAnsi"/>
          <w:sz w:val="28"/>
          <w:szCs w:val="28"/>
          <w:lang w:val="en-GB"/>
        </w:rPr>
        <w:t>RISKS AND CONCERNS</w:t>
      </w:r>
    </w:p>
    <w:p w14:paraId="0D7D1146" w14:textId="77777777" w:rsidR="00BB2159" w:rsidRPr="002160E3" w:rsidRDefault="00BB2159" w:rsidP="00E72F6E">
      <w:pPr>
        <w:pStyle w:val="BodyText"/>
        <w:rPr>
          <w:rFonts w:asciiTheme="minorHAnsi" w:hAnsiTheme="minorHAnsi"/>
          <w:sz w:val="22"/>
          <w:szCs w:val="22"/>
          <w:lang w:val="en-GB"/>
        </w:rPr>
      </w:pPr>
      <w:r w:rsidRPr="0039510C">
        <w:rPr>
          <w:rFonts w:asciiTheme="minorHAnsi" w:hAnsiTheme="minorHAnsi"/>
          <w:sz w:val="22"/>
          <w:szCs w:val="22"/>
          <w:lang w:val="en-GB"/>
        </w:rPr>
        <w:lastRenderedPageBreak/>
        <w:t xml:space="preserve">There are various financial risks mentioned in the Note </w:t>
      </w:r>
      <w:r w:rsidR="00380E34" w:rsidRPr="0039510C">
        <w:rPr>
          <w:rFonts w:asciiTheme="minorHAnsi" w:hAnsiTheme="minorHAnsi"/>
          <w:sz w:val="22"/>
          <w:szCs w:val="22"/>
          <w:lang w:val="en-GB"/>
        </w:rPr>
        <w:t xml:space="preserve">32 </w:t>
      </w:r>
      <w:r w:rsidRPr="0039510C">
        <w:rPr>
          <w:rFonts w:asciiTheme="minorHAnsi" w:hAnsiTheme="minorHAnsi"/>
          <w:sz w:val="22"/>
          <w:szCs w:val="22"/>
          <w:lang w:val="en-GB"/>
        </w:rPr>
        <w:t xml:space="preserve">of the consolidated financial statement. These </w:t>
      </w:r>
      <w:r w:rsidRPr="002160E3">
        <w:rPr>
          <w:rFonts w:asciiTheme="minorHAnsi" w:hAnsiTheme="minorHAnsi"/>
          <w:sz w:val="22"/>
          <w:szCs w:val="22"/>
          <w:lang w:val="en-GB"/>
        </w:rPr>
        <w:t>are broadly Credit Risks, Liquidity Risks and Market Risks. The</w:t>
      </w:r>
      <w:r w:rsidR="00BB4DA8" w:rsidRPr="002160E3">
        <w:rPr>
          <w:rFonts w:asciiTheme="minorHAnsi" w:hAnsiTheme="minorHAnsi"/>
          <w:sz w:val="22"/>
          <w:szCs w:val="22"/>
          <w:lang w:val="en-GB"/>
        </w:rPr>
        <w:t>y are covered in detail in the N</w:t>
      </w:r>
      <w:r w:rsidRPr="002160E3">
        <w:rPr>
          <w:rFonts w:asciiTheme="minorHAnsi" w:hAnsiTheme="minorHAnsi"/>
          <w:sz w:val="22"/>
          <w:szCs w:val="22"/>
          <w:lang w:val="en-GB"/>
        </w:rPr>
        <w:t xml:space="preserve">ote </w:t>
      </w:r>
      <w:r w:rsidR="00212CDF" w:rsidRPr="002160E3">
        <w:rPr>
          <w:rFonts w:asciiTheme="minorHAnsi" w:hAnsiTheme="minorHAnsi"/>
          <w:sz w:val="22"/>
          <w:szCs w:val="22"/>
          <w:lang w:val="en-GB"/>
        </w:rPr>
        <w:t>24</w:t>
      </w:r>
      <w:r w:rsidRPr="002160E3">
        <w:rPr>
          <w:rFonts w:asciiTheme="minorHAnsi" w:hAnsiTheme="minorHAnsi"/>
          <w:sz w:val="22"/>
          <w:szCs w:val="22"/>
          <w:lang w:val="en-GB"/>
        </w:rPr>
        <w:t xml:space="preserve"> to the consolidated financial statement and as such are not repeated here.  </w:t>
      </w:r>
    </w:p>
    <w:p w14:paraId="120C621B" w14:textId="77777777" w:rsidR="00BB2159" w:rsidRPr="002160E3" w:rsidRDefault="00BB2159" w:rsidP="00E72F6E">
      <w:pPr>
        <w:pStyle w:val="BodyText"/>
        <w:rPr>
          <w:rFonts w:asciiTheme="minorHAnsi" w:hAnsiTheme="minorHAnsi"/>
          <w:sz w:val="22"/>
          <w:szCs w:val="22"/>
          <w:lang w:val="en-GB"/>
        </w:rPr>
      </w:pPr>
    </w:p>
    <w:p w14:paraId="001C57B7" w14:textId="77777777" w:rsidR="00BB2159" w:rsidRPr="002160E3" w:rsidRDefault="00BB2159" w:rsidP="00A57431">
      <w:pPr>
        <w:pStyle w:val="BodyText"/>
        <w:rPr>
          <w:rFonts w:asciiTheme="minorHAnsi" w:hAnsiTheme="minorHAnsi"/>
          <w:sz w:val="22"/>
          <w:szCs w:val="22"/>
          <w:lang w:val="en-GB"/>
        </w:rPr>
      </w:pPr>
      <w:r w:rsidRPr="002160E3">
        <w:rPr>
          <w:rFonts w:asciiTheme="minorHAnsi" w:hAnsiTheme="minorHAnsi"/>
          <w:sz w:val="22"/>
          <w:szCs w:val="22"/>
          <w:lang w:val="en-GB"/>
        </w:rPr>
        <w:t xml:space="preserve">By and large, the risks which the investee companies are exposed </w:t>
      </w:r>
      <w:r w:rsidR="00A57431" w:rsidRPr="002160E3">
        <w:rPr>
          <w:rFonts w:asciiTheme="minorHAnsi" w:hAnsiTheme="minorHAnsi"/>
          <w:sz w:val="22"/>
          <w:szCs w:val="22"/>
          <w:lang w:val="en-GB"/>
        </w:rPr>
        <w:t xml:space="preserve">to are a </w:t>
      </w:r>
      <w:r w:rsidRPr="002160E3">
        <w:rPr>
          <w:rFonts w:asciiTheme="minorHAnsi" w:hAnsiTheme="minorHAnsi"/>
          <w:sz w:val="22"/>
          <w:szCs w:val="22"/>
          <w:lang w:val="en-GB"/>
        </w:rPr>
        <w:t>concern to Al Anwar</w:t>
      </w:r>
      <w:r w:rsidR="0092592F" w:rsidRPr="002160E3">
        <w:rPr>
          <w:rFonts w:asciiTheme="minorHAnsi" w:hAnsiTheme="minorHAnsi"/>
          <w:sz w:val="22"/>
          <w:szCs w:val="22"/>
          <w:lang w:val="en-GB"/>
        </w:rPr>
        <w:t xml:space="preserve"> too</w:t>
      </w:r>
      <w:r w:rsidRPr="002160E3">
        <w:rPr>
          <w:rFonts w:asciiTheme="minorHAnsi" w:hAnsiTheme="minorHAnsi"/>
          <w:sz w:val="22"/>
          <w:szCs w:val="22"/>
          <w:lang w:val="en-GB"/>
        </w:rPr>
        <w:t>. Broadly, the risks take the form of increasing costs/ decreasing margins, competition from other sources of supply and shifts in customer preference for other solutions.</w:t>
      </w:r>
    </w:p>
    <w:p w14:paraId="5A5DB9E8" w14:textId="77777777" w:rsidR="00BB2159" w:rsidRPr="002160E3" w:rsidRDefault="00BB2159" w:rsidP="00E72F6E">
      <w:pPr>
        <w:pStyle w:val="BodyText"/>
        <w:rPr>
          <w:rFonts w:asciiTheme="minorHAnsi" w:hAnsiTheme="minorHAnsi"/>
          <w:sz w:val="22"/>
          <w:szCs w:val="22"/>
          <w:lang w:val="en-GB"/>
        </w:rPr>
      </w:pPr>
    </w:p>
    <w:p w14:paraId="58B1DC7D" w14:textId="77777777" w:rsidR="00E730D3" w:rsidRPr="002160E3" w:rsidRDefault="00E730D3" w:rsidP="00E72F6E">
      <w:pPr>
        <w:pStyle w:val="BodyText"/>
        <w:rPr>
          <w:rFonts w:asciiTheme="minorHAnsi" w:hAnsiTheme="minorHAnsi"/>
          <w:b/>
          <w:bCs/>
          <w:sz w:val="22"/>
          <w:szCs w:val="22"/>
          <w:lang w:val="en-GB"/>
        </w:rPr>
      </w:pPr>
    </w:p>
    <w:p w14:paraId="3A647C28" w14:textId="77777777" w:rsidR="00BB2159" w:rsidRPr="002160E3" w:rsidRDefault="00BB2159" w:rsidP="006B2806">
      <w:pPr>
        <w:pStyle w:val="Title"/>
        <w:rPr>
          <w:rFonts w:asciiTheme="minorHAnsi" w:hAnsiTheme="minorHAnsi"/>
          <w:sz w:val="28"/>
          <w:szCs w:val="28"/>
          <w:lang w:val="en-GB"/>
        </w:rPr>
      </w:pPr>
      <w:r w:rsidRPr="002160E3">
        <w:rPr>
          <w:rFonts w:asciiTheme="minorHAnsi" w:hAnsiTheme="minorHAnsi"/>
          <w:sz w:val="28"/>
          <w:szCs w:val="28"/>
          <w:lang w:val="en-GB"/>
        </w:rPr>
        <w:t>INTERNAL CONTROL SYSTEMS AND THEIR ADEQUACY</w:t>
      </w:r>
    </w:p>
    <w:p w14:paraId="3BFBCEB7" w14:textId="77777777" w:rsidR="00A37025" w:rsidRPr="002160E3" w:rsidRDefault="00BB2159" w:rsidP="00E72F6E">
      <w:pPr>
        <w:pStyle w:val="BodyText"/>
        <w:rPr>
          <w:rFonts w:asciiTheme="minorHAnsi" w:hAnsiTheme="minorHAnsi"/>
          <w:sz w:val="22"/>
          <w:szCs w:val="22"/>
          <w:lang w:val="en-GB"/>
        </w:rPr>
      </w:pPr>
      <w:r w:rsidRPr="002160E3">
        <w:rPr>
          <w:rFonts w:asciiTheme="minorHAnsi" w:hAnsiTheme="minorHAnsi"/>
          <w:sz w:val="22"/>
          <w:szCs w:val="22"/>
          <w:lang w:val="en-GB"/>
        </w:rPr>
        <w:t>The Company has adequate internal controls commensurate with the size and nature of operations. A manual of</w:t>
      </w:r>
      <w:r w:rsidR="00E343B7" w:rsidRPr="002160E3">
        <w:rPr>
          <w:rFonts w:asciiTheme="minorHAnsi" w:hAnsiTheme="minorHAnsi"/>
          <w:sz w:val="22"/>
          <w:szCs w:val="22"/>
          <w:lang w:val="en-GB"/>
        </w:rPr>
        <w:t xml:space="preserve"> financial</w:t>
      </w:r>
      <w:r w:rsidRPr="002160E3">
        <w:rPr>
          <w:rFonts w:asciiTheme="minorHAnsi" w:hAnsiTheme="minorHAnsi"/>
          <w:sz w:val="22"/>
          <w:szCs w:val="22"/>
          <w:lang w:val="en-GB"/>
        </w:rPr>
        <w:t xml:space="preserve"> authorities approved by the Board is in place, which specifies authority levels for various day to day operations. </w:t>
      </w:r>
    </w:p>
    <w:p w14:paraId="4636278F" w14:textId="77777777" w:rsidR="00A37025" w:rsidRPr="002160E3" w:rsidRDefault="00A37025" w:rsidP="00E72F6E">
      <w:pPr>
        <w:pStyle w:val="BodyText"/>
        <w:rPr>
          <w:rFonts w:asciiTheme="minorHAnsi" w:hAnsiTheme="minorHAnsi"/>
          <w:sz w:val="22"/>
          <w:szCs w:val="22"/>
          <w:lang w:val="en-GB"/>
        </w:rPr>
      </w:pPr>
    </w:p>
    <w:p w14:paraId="26987410" w14:textId="77777777" w:rsidR="00A37025" w:rsidRPr="002160E3" w:rsidRDefault="00A37025" w:rsidP="00E72F6E">
      <w:pPr>
        <w:pStyle w:val="BodyText"/>
        <w:rPr>
          <w:rFonts w:asciiTheme="minorHAnsi" w:hAnsiTheme="minorHAnsi"/>
          <w:sz w:val="22"/>
          <w:szCs w:val="22"/>
          <w:lang w:val="en-GB"/>
        </w:rPr>
      </w:pPr>
      <w:r w:rsidRPr="002160E3">
        <w:rPr>
          <w:rFonts w:asciiTheme="minorHAnsi" w:hAnsiTheme="minorHAnsi"/>
          <w:sz w:val="22"/>
          <w:szCs w:val="22"/>
          <w:lang w:val="en-GB"/>
        </w:rPr>
        <w:t>The system of internal control is monitored regularly by the Board, its Committees, Management and Internal Audit. The Group’s business is conducted with a developed control framework, underpinned by policy statements, written procedures and control manuals. The Board has established a management structure which clearly defines roles, responsibilities and reporting lines. Delegated authorities are documented and communicated.</w:t>
      </w:r>
    </w:p>
    <w:p w14:paraId="41A95EDB" w14:textId="77777777" w:rsidR="007E5B61" w:rsidRPr="002160E3" w:rsidRDefault="007E5B61" w:rsidP="00E72F6E">
      <w:pPr>
        <w:pStyle w:val="BodyText"/>
        <w:rPr>
          <w:rFonts w:asciiTheme="minorHAnsi" w:hAnsiTheme="minorHAnsi"/>
          <w:sz w:val="22"/>
          <w:szCs w:val="22"/>
          <w:lang w:val="en-GB"/>
        </w:rPr>
      </w:pPr>
    </w:p>
    <w:p w14:paraId="19A8D79F" w14:textId="77777777" w:rsidR="00FA0881" w:rsidRPr="002160E3" w:rsidRDefault="00FA0881" w:rsidP="00E72F6E">
      <w:pPr>
        <w:pStyle w:val="BodyText"/>
        <w:rPr>
          <w:rFonts w:asciiTheme="minorHAnsi" w:hAnsiTheme="minorHAnsi"/>
          <w:sz w:val="22"/>
          <w:szCs w:val="22"/>
          <w:lang w:val="en-GB"/>
        </w:rPr>
      </w:pPr>
      <w:r w:rsidRPr="002160E3">
        <w:rPr>
          <w:rFonts w:asciiTheme="minorHAnsi" w:hAnsiTheme="minorHAnsi"/>
          <w:sz w:val="22"/>
          <w:szCs w:val="22"/>
          <w:lang w:val="en-GB"/>
        </w:rPr>
        <w:t>As stipulated by Capital Marke</w:t>
      </w:r>
      <w:r w:rsidR="005D128B" w:rsidRPr="002160E3">
        <w:rPr>
          <w:rFonts w:asciiTheme="minorHAnsi" w:hAnsiTheme="minorHAnsi"/>
          <w:sz w:val="22"/>
          <w:szCs w:val="22"/>
          <w:lang w:val="en-GB"/>
        </w:rPr>
        <w:t>t Authorities, the company has a</w:t>
      </w:r>
      <w:r w:rsidRPr="002160E3">
        <w:rPr>
          <w:rFonts w:asciiTheme="minorHAnsi" w:hAnsiTheme="minorHAnsi"/>
          <w:sz w:val="22"/>
          <w:szCs w:val="22"/>
          <w:lang w:val="en-GB"/>
        </w:rPr>
        <w:t xml:space="preserve"> fully functional in-house Internal Audit Unit</w:t>
      </w:r>
      <w:r w:rsidR="005D128B" w:rsidRPr="002160E3">
        <w:rPr>
          <w:rFonts w:asciiTheme="minorHAnsi" w:hAnsiTheme="minorHAnsi"/>
          <w:sz w:val="22"/>
          <w:szCs w:val="22"/>
          <w:lang w:val="en-GB"/>
        </w:rPr>
        <w:t>.</w:t>
      </w:r>
      <w:r w:rsidRPr="002160E3">
        <w:rPr>
          <w:rFonts w:asciiTheme="minorHAnsi" w:hAnsiTheme="minorHAnsi"/>
          <w:sz w:val="22"/>
          <w:szCs w:val="22"/>
          <w:lang w:val="en-GB"/>
        </w:rPr>
        <w:t xml:space="preserve"> The unit is being </w:t>
      </w:r>
      <w:r w:rsidR="00E343B7" w:rsidRPr="002160E3">
        <w:rPr>
          <w:rFonts w:asciiTheme="minorHAnsi" w:hAnsiTheme="minorHAnsi"/>
          <w:sz w:val="22"/>
          <w:szCs w:val="22"/>
          <w:lang w:val="en-GB"/>
        </w:rPr>
        <w:t>staffed</w:t>
      </w:r>
      <w:r w:rsidRPr="002160E3">
        <w:rPr>
          <w:rFonts w:asciiTheme="minorHAnsi" w:hAnsiTheme="minorHAnsi"/>
          <w:sz w:val="22"/>
          <w:szCs w:val="22"/>
          <w:lang w:val="en-GB"/>
        </w:rPr>
        <w:t xml:space="preserve"> by a qualified and experienced Manager, who is reporting to the Chairman Audit Committee.</w:t>
      </w:r>
    </w:p>
    <w:p w14:paraId="7D649CFD" w14:textId="77777777" w:rsidR="001C0408" w:rsidRPr="002160E3" w:rsidRDefault="001C0408" w:rsidP="001C0408">
      <w:pPr>
        <w:pStyle w:val="BodyText"/>
        <w:rPr>
          <w:rFonts w:asciiTheme="minorHAnsi" w:hAnsiTheme="minorHAnsi"/>
          <w:sz w:val="22"/>
          <w:szCs w:val="22"/>
          <w:lang w:val="en-GB"/>
        </w:rPr>
      </w:pPr>
    </w:p>
    <w:p w14:paraId="17E798E3" w14:textId="77777777" w:rsidR="00A37025" w:rsidRPr="002160E3" w:rsidRDefault="00A37025" w:rsidP="001C0408">
      <w:pPr>
        <w:pStyle w:val="BodyText"/>
        <w:rPr>
          <w:rFonts w:asciiTheme="minorHAnsi" w:hAnsiTheme="minorHAnsi"/>
          <w:sz w:val="22"/>
          <w:szCs w:val="22"/>
          <w:lang w:val="en-GB"/>
        </w:rPr>
      </w:pPr>
      <w:r w:rsidRPr="002160E3">
        <w:rPr>
          <w:rFonts w:asciiTheme="minorHAnsi" w:hAnsiTheme="minorHAnsi"/>
          <w:sz w:val="22"/>
          <w:szCs w:val="22"/>
          <w:lang w:val="en-GB"/>
        </w:rPr>
        <w:t xml:space="preserve">The business performance of the Group is reported regularly </w:t>
      </w:r>
      <w:r w:rsidR="00E343B7" w:rsidRPr="002160E3">
        <w:rPr>
          <w:rFonts w:asciiTheme="minorHAnsi" w:hAnsiTheme="minorHAnsi"/>
          <w:sz w:val="22"/>
          <w:szCs w:val="22"/>
          <w:lang w:val="en-GB"/>
        </w:rPr>
        <w:t>by</w:t>
      </w:r>
      <w:r w:rsidRPr="002160E3">
        <w:rPr>
          <w:rFonts w:asciiTheme="minorHAnsi" w:hAnsiTheme="minorHAnsi"/>
          <w:sz w:val="22"/>
          <w:szCs w:val="22"/>
          <w:lang w:val="en-GB"/>
        </w:rPr>
        <w:t xml:space="preserve"> its management </w:t>
      </w:r>
      <w:r w:rsidR="00E343B7" w:rsidRPr="002160E3">
        <w:rPr>
          <w:rFonts w:asciiTheme="minorHAnsi" w:hAnsiTheme="minorHAnsi"/>
          <w:sz w:val="22"/>
          <w:szCs w:val="22"/>
          <w:lang w:val="en-GB"/>
        </w:rPr>
        <w:t>to</w:t>
      </w:r>
      <w:r w:rsidRPr="002160E3">
        <w:rPr>
          <w:rFonts w:asciiTheme="minorHAnsi" w:hAnsiTheme="minorHAnsi"/>
          <w:sz w:val="22"/>
          <w:szCs w:val="22"/>
          <w:lang w:val="en-GB"/>
        </w:rPr>
        <w:t xml:space="preserve"> the Board. Performance trends, forecasts as well as actual performance against budgets and prior periods are closely monitored. Financial information is prepared using appropriate accounting policies which are applied consistently. Operational procedures and controls have been established to facilitate complete, accurate and timely processing of transactions and the safeguarding of assets. These controls also include the segregation of duties, the regular reconciliation of accounts and the valuation of assets and positions.</w:t>
      </w:r>
    </w:p>
    <w:p w14:paraId="2AE1036C" w14:textId="77777777" w:rsidR="001C0408" w:rsidRPr="002160E3" w:rsidRDefault="001C0408" w:rsidP="001C0408">
      <w:pPr>
        <w:pStyle w:val="BodyText"/>
        <w:rPr>
          <w:rFonts w:asciiTheme="minorHAnsi" w:hAnsiTheme="minorHAnsi"/>
          <w:sz w:val="22"/>
          <w:szCs w:val="22"/>
          <w:lang w:val="en-GB"/>
        </w:rPr>
      </w:pPr>
    </w:p>
    <w:p w14:paraId="154D209A" w14:textId="77777777" w:rsidR="00A37025" w:rsidRPr="002160E3" w:rsidRDefault="00A37025" w:rsidP="006B2806">
      <w:pPr>
        <w:pStyle w:val="Title"/>
        <w:rPr>
          <w:rFonts w:asciiTheme="minorHAnsi" w:hAnsiTheme="minorHAnsi"/>
          <w:sz w:val="28"/>
          <w:szCs w:val="28"/>
          <w:lang w:val="en-GB"/>
        </w:rPr>
      </w:pPr>
      <w:r w:rsidRPr="002160E3">
        <w:rPr>
          <w:rFonts w:asciiTheme="minorHAnsi" w:hAnsiTheme="minorHAnsi"/>
          <w:sz w:val="28"/>
          <w:szCs w:val="28"/>
          <w:lang w:val="en-GB"/>
        </w:rPr>
        <w:t>DISCUSSION ON FINANCIAL AND OPERATIONAL PERFORMANCE</w:t>
      </w:r>
    </w:p>
    <w:p w14:paraId="4AE869AB" w14:textId="77777777" w:rsidR="0095475F" w:rsidRPr="002160E3" w:rsidRDefault="0095475F" w:rsidP="0095475F">
      <w:pPr>
        <w:spacing w:after="120" w:line="240" w:lineRule="auto"/>
        <w:jc w:val="both"/>
        <w:rPr>
          <w:rFonts w:asciiTheme="minorHAnsi" w:hAnsiTheme="minorHAnsi"/>
        </w:rPr>
      </w:pPr>
      <w:r w:rsidRPr="002160E3">
        <w:rPr>
          <w:rFonts w:asciiTheme="minorHAnsi" w:hAnsiTheme="minorHAnsi"/>
        </w:rPr>
        <w:t xml:space="preserve">The company posted a consolidated profit attributable to the shareholders of the parent company of RO </w:t>
      </w:r>
      <w:r w:rsidR="003C7BC1" w:rsidRPr="002160E3">
        <w:rPr>
          <w:rFonts w:asciiTheme="minorHAnsi" w:hAnsiTheme="minorHAnsi"/>
        </w:rPr>
        <w:t xml:space="preserve">4.935 </w:t>
      </w:r>
      <w:r w:rsidRPr="002160E3">
        <w:rPr>
          <w:rFonts w:asciiTheme="minorHAnsi" w:hAnsiTheme="minorHAnsi"/>
        </w:rPr>
        <w:t xml:space="preserve">million during the year as compared </w:t>
      </w:r>
      <w:r w:rsidR="00535FE1" w:rsidRPr="002160E3">
        <w:rPr>
          <w:rFonts w:asciiTheme="minorHAnsi" w:hAnsiTheme="minorHAnsi"/>
        </w:rPr>
        <w:t xml:space="preserve">to </w:t>
      </w:r>
      <w:r w:rsidRPr="002160E3">
        <w:rPr>
          <w:rFonts w:asciiTheme="minorHAnsi" w:hAnsiTheme="minorHAnsi"/>
        </w:rPr>
        <w:t>RO</w:t>
      </w:r>
      <w:r w:rsidR="003C7BC1" w:rsidRPr="002160E3">
        <w:rPr>
          <w:rFonts w:asciiTheme="minorHAnsi" w:hAnsiTheme="minorHAnsi"/>
        </w:rPr>
        <w:t xml:space="preserve"> 4.668 </w:t>
      </w:r>
      <w:r w:rsidRPr="002160E3">
        <w:rPr>
          <w:rFonts w:asciiTheme="minorHAnsi" w:hAnsiTheme="minorHAnsi"/>
        </w:rPr>
        <w:t>million during the year 201</w:t>
      </w:r>
      <w:r w:rsidR="00D54BE7" w:rsidRPr="002160E3">
        <w:rPr>
          <w:rFonts w:asciiTheme="minorHAnsi" w:hAnsiTheme="minorHAnsi"/>
        </w:rPr>
        <w:t>4</w:t>
      </w:r>
      <w:r w:rsidRPr="002160E3">
        <w:rPr>
          <w:rFonts w:asciiTheme="minorHAnsi" w:hAnsiTheme="minorHAnsi"/>
        </w:rPr>
        <w:t>-1</w:t>
      </w:r>
      <w:r w:rsidR="00D54BE7" w:rsidRPr="002160E3">
        <w:rPr>
          <w:rFonts w:asciiTheme="minorHAnsi" w:hAnsiTheme="minorHAnsi"/>
        </w:rPr>
        <w:t>5</w:t>
      </w:r>
      <w:r w:rsidR="008B2D70" w:rsidRPr="002160E3">
        <w:rPr>
          <w:rFonts w:asciiTheme="minorHAnsi" w:hAnsiTheme="minorHAnsi"/>
        </w:rPr>
        <w:t xml:space="preserve">, a growth of </w:t>
      </w:r>
      <w:r w:rsidR="003C7BC1" w:rsidRPr="002160E3">
        <w:rPr>
          <w:rFonts w:asciiTheme="minorHAnsi" w:hAnsiTheme="minorHAnsi"/>
        </w:rPr>
        <w:t>5.7</w:t>
      </w:r>
      <w:r w:rsidR="00BB4DA8" w:rsidRPr="002160E3">
        <w:rPr>
          <w:rFonts w:asciiTheme="minorHAnsi" w:hAnsiTheme="minorHAnsi"/>
        </w:rPr>
        <w:t>%,</w:t>
      </w:r>
      <w:r w:rsidRPr="002160E3">
        <w:rPr>
          <w:rFonts w:asciiTheme="minorHAnsi" w:hAnsiTheme="minorHAnsi"/>
        </w:rPr>
        <w:t xml:space="preserve"> in consolidated Group Accounts and a profit of RO</w:t>
      </w:r>
      <w:r w:rsidR="003C7BC1" w:rsidRPr="002160E3">
        <w:rPr>
          <w:rFonts w:asciiTheme="minorHAnsi" w:hAnsiTheme="minorHAnsi"/>
        </w:rPr>
        <w:t xml:space="preserve"> 3.521</w:t>
      </w:r>
      <w:r w:rsidR="00CB4939" w:rsidRPr="002160E3">
        <w:rPr>
          <w:rFonts w:asciiTheme="minorHAnsi" w:hAnsiTheme="minorHAnsi"/>
        </w:rPr>
        <w:t xml:space="preserve"> </w:t>
      </w:r>
      <w:r w:rsidRPr="002160E3">
        <w:rPr>
          <w:rFonts w:asciiTheme="minorHAnsi" w:hAnsiTheme="minorHAnsi"/>
        </w:rPr>
        <w:t xml:space="preserve">million during the year as compared with </w:t>
      </w:r>
      <w:r w:rsidR="00421F6A" w:rsidRPr="002160E3">
        <w:rPr>
          <w:rFonts w:asciiTheme="minorHAnsi" w:hAnsiTheme="minorHAnsi"/>
        </w:rPr>
        <w:t>profit</w:t>
      </w:r>
      <w:r w:rsidRPr="002160E3">
        <w:rPr>
          <w:rFonts w:asciiTheme="minorHAnsi" w:hAnsiTheme="minorHAnsi"/>
        </w:rPr>
        <w:t xml:space="preserve"> of RO </w:t>
      </w:r>
      <w:r w:rsidR="003C7BC1" w:rsidRPr="002160E3">
        <w:rPr>
          <w:rFonts w:asciiTheme="minorHAnsi" w:hAnsiTheme="minorHAnsi"/>
        </w:rPr>
        <w:t xml:space="preserve">6.066 </w:t>
      </w:r>
      <w:r w:rsidRPr="002160E3">
        <w:rPr>
          <w:rFonts w:asciiTheme="minorHAnsi" w:hAnsiTheme="minorHAnsi"/>
        </w:rPr>
        <w:t>million during the year 201</w:t>
      </w:r>
      <w:r w:rsidR="00D54BE7" w:rsidRPr="002160E3">
        <w:rPr>
          <w:rFonts w:asciiTheme="minorHAnsi" w:hAnsiTheme="minorHAnsi"/>
        </w:rPr>
        <w:t>4</w:t>
      </w:r>
      <w:r w:rsidRPr="002160E3">
        <w:rPr>
          <w:rFonts w:asciiTheme="minorHAnsi" w:hAnsiTheme="minorHAnsi"/>
        </w:rPr>
        <w:t>-1</w:t>
      </w:r>
      <w:r w:rsidR="00D54BE7" w:rsidRPr="002160E3">
        <w:rPr>
          <w:rFonts w:asciiTheme="minorHAnsi" w:hAnsiTheme="minorHAnsi"/>
        </w:rPr>
        <w:t>5</w:t>
      </w:r>
      <w:r w:rsidRPr="002160E3">
        <w:rPr>
          <w:rFonts w:asciiTheme="minorHAnsi" w:hAnsiTheme="minorHAnsi"/>
        </w:rPr>
        <w:t xml:space="preserve"> in Parent Company Accounts. </w:t>
      </w:r>
    </w:p>
    <w:p w14:paraId="512AA807" w14:textId="77777777" w:rsidR="0095475F" w:rsidRPr="002160E3" w:rsidRDefault="0095475F" w:rsidP="0095475F">
      <w:pPr>
        <w:spacing w:after="120" w:line="240" w:lineRule="auto"/>
        <w:jc w:val="both"/>
        <w:rPr>
          <w:rFonts w:asciiTheme="minorHAnsi" w:hAnsiTheme="minorHAnsi"/>
        </w:rPr>
      </w:pPr>
      <w:r w:rsidRPr="002160E3">
        <w:rPr>
          <w:rFonts w:asciiTheme="minorHAnsi" w:hAnsiTheme="minorHAnsi"/>
        </w:rPr>
        <w:t xml:space="preserve">The Earning per Share (EPS) for the Group was </w:t>
      </w:r>
      <w:r w:rsidR="003C7BC1" w:rsidRPr="002160E3">
        <w:rPr>
          <w:rFonts w:asciiTheme="minorHAnsi" w:hAnsiTheme="minorHAnsi"/>
        </w:rPr>
        <w:t>33</w:t>
      </w:r>
      <w:r w:rsidR="00D54BE7" w:rsidRPr="002160E3">
        <w:rPr>
          <w:rFonts w:asciiTheme="minorHAnsi" w:hAnsiTheme="minorHAnsi"/>
        </w:rPr>
        <w:t>bz</w:t>
      </w:r>
      <w:r w:rsidRPr="002160E3">
        <w:rPr>
          <w:rFonts w:asciiTheme="minorHAnsi" w:hAnsiTheme="minorHAnsi"/>
        </w:rPr>
        <w:t xml:space="preserve"> in </w:t>
      </w:r>
      <w:r w:rsidR="00535FE1" w:rsidRPr="002160E3">
        <w:rPr>
          <w:rFonts w:asciiTheme="minorHAnsi" w:hAnsiTheme="minorHAnsi"/>
        </w:rPr>
        <w:t>FY</w:t>
      </w:r>
      <w:r w:rsidRPr="002160E3">
        <w:rPr>
          <w:rFonts w:asciiTheme="minorHAnsi" w:hAnsiTheme="minorHAnsi"/>
        </w:rPr>
        <w:t>201</w:t>
      </w:r>
      <w:r w:rsidR="003C7BC1" w:rsidRPr="002160E3">
        <w:rPr>
          <w:rFonts w:asciiTheme="minorHAnsi" w:hAnsiTheme="minorHAnsi"/>
        </w:rPr>
        <w:t>5</w:t>
      </w:r>
      <w:r w:rsidR="00343023" w:rsidRPr="002160E3">
        <w:rPr>
          <w:rFonts w:asciiTheme="minorHAnsi" w:hAnsiTheme="minorHAnsi"/>
        </w:rPr>
        <w:t>-1</w:t>
      </w:r>
      <w:r w:rsidR="00D54BE7" w:rsidRPr="002160E3">
        <w:rPr>
          <w:rFonts w:asciiTheme="minorHAnsi" w:hAnsiTheme="minorHAnsi"/>
        </w:rPr>
        <w:t>6</w:t>
      </w:r>
      <w:r w:rsidRPr="002160E3">
        <w:rPr>
          <w:rFonts w:asciiTheme="minorHAnsi" w:hAnsiTheme="minorHAnsi"/>
        </w:rPr>
        <w:t xml:space="preserve"> as against </w:t>
      </w:r>
      <w:r w:rsidR="003C7BC1" w:rsidRPr="002160E3">
        <w:rPr>
          <w:rFonts w:asciiTheme="minorHAnsi" w:hAnsiTheme="minorHAnsi"/>
        </w:rPr>
        <w:t>31</w:t>
      </w:r>
      <w:r w:rsidR="00D54BE7" w:rsidRPr="002160E3">
        <w:rPr>
          <w:rFonts w:asciiTheme="minorHAnsi" w:hAnsiTheme="minorHAnsi"/>
        </w:rPr>
        <w:t>bz</w:t>
      </w:r>
      <w:r w:rsidRPr="002160E3">
        <w:rPr>
          <w:rFonts w:asciiTheme="minorHAnsi" w:hAnsiTheme="minorHAnsi"/>
        </w:rPr>
        <w:t xml:space="preserve"> in </w:t>
      </w:r>
      <w:r w:rsidR="00B17A2E" w:rsidRPr="002160E3">
        <w:rPr>
          <w:rFonts w:asciiTheme="minorHAnsi" w:hAnsiTheme="minorHAnsi"/>
        </w:rPr>
        <w:t>FY</w:t>
      </w:r>
      <w:r w:rsidRPr="002160E3">
        <w:rPr>
          <w:rFonts w:asciiTheme="minorHAnsi" w:hAnsiTheme="minorHAnsi"/>
        </w:rPr>
        <w:t>201</w:t>
      </w:r>
      <w:r w:rsidR="00D54BE7" w:rsidRPr="002160E3">
        <w:rPr>
          <w:rFonts w:asciiTheme="minorHAnsi" w:hAnsiTheme="minorHAnsi"/>
        </w:rPr>
        <w:t>4</w:t>
      </w:r>
      <w:r w:rsidR="00343023" w:rsidRPr="002160E3">
        <w:rPr>
          <w:rFonts w:asciiTheme="minorHAnsi" w:hAnsiTheme="minorHAnsi"/>
        </w:rPr>
        <w:t>-1</w:t>
      </w:r>
      <w:r w:rsidR="00D54BE7" w:rsidRPr="002160E3">
        <w:rPr>
          <w:rFonts w:asciiTheme="minorHAnsi" w:hAnsiTheme="minorHAnsi"/>
        </w:rPr>
        <w:t>5</w:t>
      </w:r>
      <w:r w:rsidRPr="002160E3">
        <w:rPr>
          <w:rFonts w:asciiTheme="minorHAnsi" w:hAnsiTheme="minorHAnsi"/>
        </w:rPr>
        <w:t>.</w:t>
      </w:r>
    </w:p>
    <w:p w14:paraId="6C7CE563" w14:textId="0B32BAA7" w:rsidR="0095475F" w:rsidRDefault="0095475F" w:rsidP="0095475F">
      <w:pPr>
        <w:spacing w:after="120" w:line="240" w:lineRule="auto"/>
        <w:jc w:val="both"/>
        <w:rPr>
          <w:rFonts w:asciiTheme="minorHAnsi" w:hAnsiTheme="minorHAnsi"/>
        </w:rPr>
      </w:pPr>
      <w:r w:rsidRPr="002160E3">
        <w:rPr>
          <w:rFonts w:asciiTheme="minorHAnsi" w:hAnsiTheme="minorHAnsi"/>
        </w:rPr>
        <w:t>Net asset</w:t>
      </w:r>
      <w:r w:rsidR="00735B0C" w:rsidRPr="002160E3">
        <w:rPr>
          <w:rFonts w:asciiTheme="minorHAnsi" w:hAnsiTheme="minorHAnsi"/>
        </w:rPr>
        <w:t xml:space="preserve"> per share of the company was </w:t>
      </w:r>
      <w:r w:rsidR="002557D2">
        <w:rPr>
          <w:rFonts w:asciiTheme="minorHAnsi" w:hAnsiTheme="minorHAnsi"/>
        </w:rPr>
        <w:t>201</w:t>
      </w:r>
      <w:r w:rsidR="00D54BE7" w:rsidRPr="002160E3">
        <w:rPr>
          <w:rFonts w:asciiTheme="minorHAnsi" w:hAnsiTheme="minorHAnsi"/>
        </w:rPr>
        <w:t>bz</w:t>
      </w:r>
      <w:r w:rsidRPr="002160E3">
        <w:rPr>
          <w:rFonts w:asciiTheme="minorHAnsi" w:hAnsiTheme="minorHAnsi"/>
        </w:rPr>
        <w:t xml:space="preserve"> </w:t>
      </w:r>
      <w:r w:rsidR="00735B0C" w:rsidRPr="002160E3">
        <w:rPr>
          <w:rFonts w:asciiTheme="minorHAnsi" w:hAnsiTheme="minorHAnsi"/>
        </w:rPr>
        <w:t>on 31</w:t>
      </w:r>
      <w:r w:rsidR="00735B0C" w:rsidRPr="002160E3">
        <w:rPr>
          <w:rFonts w:asciiTheme="minorHAnsi" w:hAnsiTheme="minorHAnsi"/>
          <w:vertAlign w:val="superscript"/>
        </w:rPr>
        <w:t>st</w:t>
      </w:r>
      <w:r w:rsidR="00735B0C" w:rsidRPr="002160E3">
        <w:rPr>
          <w:rFonts w:asciiTheme="minorHAnsi" w:hAnsiTheme="minorHAnsi"/>
        </w:rPr>
        <w:t xml:space="preserve"> March, 201</w:t>
      </w:r>
      <w:r w:rsidR="00D54BE7" w:rsidRPr="002160E3">
        <w:rPr>
          <w:rFonts w:asciiTheme="minorHAnsi" w:hAnsiTheme="minorHAnsi"/>
        </w:rPr>
        <w:t>6</w:t>
      </w:r>
      <w:r w:rsidR="00735B0C" w:rsidRPr="002160E3">
        <w:rPr>
          <w:rFonts w:asciiTheme="minorHAnsi" w:hAnsiTheme="minorHAnsi"/>
        </w:rPr>
        <w:t xml:space="preserve">, </w:t>
      </w:r>
      <w:r w:rsidRPr="002160E3">
        <w:rPr>
          <w:rFonts w:asciiTheme="minorHAnsi" w:hAnsiTheme="minorHAnsi"/>
        </w:rPr>
        <w:t>as against</w:t>
      </w:r>
      <w:r w:rsidR="003C7BC1" w:rsidRPr="002160E3">
        <w:rPr>
          <w:rFonts w:asciiTheme="minorHAnsi" w:hAnsiTheme="minorHAnsi"/>
        </w:rPr>
        <w:t xml:space="preserve"> 171</w:t>
      </w:r>
      <w:r w:rsidR="00735B0C" w:rsidRPr="002160E3">
        <w:rPr>
          <w:rFonts w:asciiTheme="minorHAnsi" w:hAnsiTheme="minorHAnsi"/>
        </w:rPr>
        <w:t>B</w:t>
      </w:r>
      <w:r w:rsidR="00D54BE7" w:rsidRPr="002160E3">
        <w:rPr>
          <w:rFonts w:asciiTheme="minorHAnsi" w:hAnsiTheme="minorHAnsi"/>
        </w:rPr>
        <w:t>z</w:t>
      </w:r>
      <w:r w:rsidR="00735B0C" w:rsidRPr="002160E3">
        <w:rPr>
          <w:rFonts w:asciiTheme="minorHAnsi" w:hAnsiTheme="minorHAnsi"/>
        </w:rPr>
        <w:t xml:space="preserve"> </w:t>
      </w:r>
      <w:r w:rsidRPr="002160E3">
        <w:rPr>
          <w:rFonts w:asciiTheme="minorHAnsi" w:hAnsiTheme="minorHAnsi"/>
        </w:rPr>
        <w:t>as on 31</w:t>
      </w:r>
      <w:r w:rsidRPr="002160E3">
        <w:rPr>
          <w:rFonts w:asciiTheme="minorHAnsi" w:hAnsiTheme="minorHAnsi"/>
          <w:vertAlign w:val="superscript"/>
        </w:rPr>
        <w:t>st</w:t>
      </w:r>
      <w:r w:rsidR="00535FE1" w:rsidRPr="002160E3">
        <w:rPr>
          <w:rFonts w:asciiTheme="minorHAnsi" w:hAnsiTheme="minorHAnsi"/>
        </w:rPr>
        <w:t xml:space="preserve"> March, 201</w:t>
      </w:r>
      <w:r w:rsidR="00D54BE7" w:rsidRPr="002160E3">
        <w:rPr>
          <w:rFonts w:asciiTheme="minorHAnsi" w:hAnsiTheme="minorHAnsi"/>
        </w:rPr>
        <w:t>5</w:t>
      </w:r>
      <w:r w:rsidRPr="002160E3">
        <w:rPr>
          <w:rFonts w:asciiTheme="minorHAnsi" w:hAnsiTheme="minorHAnsi"/>
        </w:rPr>
        <w:t>.</w:t>
      </w:r>
      <w:r w:rsidR="00256C0A" w:rsidRPr="002160E3">
        <w:rPr>
          <w:rFonts w:asciiTheme="minorHAnsi" w:hAnsiTheme="minorHAnsi"/>
        </w:rPr>
        <w:t xml:space="preserve"> </w:t>
      </w:r>
    </w:p>
    <w:p w14:paraId="0E7906CC" w14:textId="11A8E6F1" w:rsidR="00256C0A" w:rsidRDefault="00256C0A" w:rsidP="00256C0A">
      <w:pPr>
        <w:spacing w:after="120" w:line="240" w:lineRule="auto"/>
        <w:jc w:val="both"/>
        <w:rPr>
          <w:rFonts w:asciiTheme="minorHAnsi" w:hAnsiTheme="minorHAnsi"/>
        </w:rPr>
      </w:pPr>
      <w:r w:rsidRPr="002160E3">
        <w:rPr>
          <w:rFonts w:asciiTheme="minorHAnsi" w:hAnsiTheme="minorHAnsi"/>
        </w:rPr>
        <w:t>Our financial results reflected strong underlying performance across virtually all our businesses</w:t>
      </w:r>
      <w:r w:rsidR="002557D2">
        <w:rPr>
          <w:rFonts w:asciiTheme="minorHAnsi" w:hAnsiTheme="minorHAnsi"/>
        </w:rPr>
        <w:t>.</w:t>
      </w:r>
    </w:p>
    <w:p w14:paraId="14EAE03B" w14:textId="77777777" w:rsidR="002557D2" w:rsidRPr="002160E3" w:rsidRDefault="002557D2" w:rsidP="00256C0A">
      <w:pPr>
        <w:spacing w:after="120" w:line="240" w:lineRule="auto"/>
        <w:jc w:val="both"/>
        <w:rPr>
          <w:rFonts w:asciiTheme="minorHAnsi" w:hAnsiTheme="minorHAnsi"/>
        </w:rPr>
      </w:pPr>
      <w:bookmarkStart w:id="0" w:name="_GoBack"/>
      <w:bookmarkEnd w:id="0"/>
    </w:p>
    <w:tbl>
      <w:tblPr>
        <w:tblStyle w:val="TableGrid"/>
        <w:tblW w:w="0" w:type="auto"/>
        <w:jc w:val="center"/>
        <w:tblLook w:val="04A0" w:firstRow="1" w:lastRow="0" w:firstColumn="1" w:lastColumn="0" w:noHBand="0" w:noVBand="1"/>
      </w:tblPr>
      <w:tblGrid>
        <w:gridCol w:w="2258"/>
        <w:gridCol w:w="900"/>
        <w:gridCol w:w="849"/>
        <w:gridCol w:w="747"/>
      </w:tblGrid>
      <w:tr w:rsidR="00D54BE7" w:rsidRPr="002160E3" w14:paraId="04E5DD49" w14:textId="77777777" w:rsidTr="00F25F59">
        <w:trPr>
          <w:trHeight w:val="256"/>
          <w:jc w:val="center"/>
        </w:trPr>
        <w:tc>
          <w:tcPr>
            <w:tcW w:w="2258" w:type="dxa"/>
            <w:tcBorders>
              <w:bottom w:val="single" w:sz="4" w:space="0" w:color="auto"/>
            </w:tcBorders>
            <w:shd w:val="clear" w:color="auto" w:fill="17365D" w:themeFill="text2" w:themeFillShade="BF"/>
          </w:tcPr>
          <w:p w14:paraId="54066EF0" w14:textId="77777777" w:rsidR="00D54BE7" w:rsidRPr="002160E3" w:rsidRDefault="00D54BE7" w:rsidP="00CB51CC">
            <w:pPr>
              <w:pStyle w:val="NoSpacing"/>
              <w:jc w:val="both"/>
              <w:rPr>
                <w:rFonts w:cs="Calibri"/>
                <w:b/>
                <w:sz w:val="22"/>
                <w:szCs w:val="22"/>
              </w:rPr>
            </w:pPr>
            <w:r w:rsidRPr="002160E3">
              <w:rPr>
                <w:rFonts w:cs="Calibri"/>
                <w:b/>
                <w:sz w:val="22"/>
                <w:szCs w:val="22"/>
              </w:rPr>
              <w:lastRenderedPageBreak/>
              <w:t>Financial Year ended 31</w:t>
            </w:r>
            <w:r w:rsidRPr="002160E3">
              <w:rPr>
                <w:rFonts w:cs="Calibri"/>
                <w:b/>
                <w:sz w:val="22"/>
                <w:szCs w:val="22"/>
                <w:vertAlign w:val="superscript"/>
              </w:rPr>
              <w:t>st</w:t>
            </w:r>
            <w:r w:rsidRPr="002160E3">
              <w:rPr>
                <w:rFonts w:cs="Calibri"/>
                <w:b/>
                <w:sz w:val="22"/>
                <w:szCs w:val="22"/>
              </w:rPr>
              <w:t xml:space="preserve"> March</w:t>
            </w:r>
          </w:p>
        </w:tc>
        <w:tc>
          <w:tcPr>
            <w:tcW w:w="900" w:type="dxa"/>
            <w:tcBorders>
              <w:bottom w:val="single" w:sz="4" w:space="0" w:color="auto"/>
            </w:tcBorders>
            <w:shd w:val="clear" w:color="auto" w:fill="17365D" w:themeFill="text2" w:themeFillShade="BF"/>
          </w:tcPr>
          <w:p w14:paraId="15DADB2F" w14:textId="77777777" w:rsidR="00D54BE7" w:rsidRPr="002160E3" w:rsidRDefault="00D54BE7" w:rsidP="00812A3F">
            <w:pPr>
              <w:pStyle w:val="NoSpacing"/>
              <w:jc w:val="right"/>
              <w:rPr>
                <w:rFonts w:cs="Calibri"/>
                <w:b/>
                <w:sz w:val="22"/>
                <w:szCs w:val="22"/>
              </w:rPr>
            </w:pPr>
            <w:r w:rsidRPr="002160E3">
              <w:rPr>
                <w:rFonts w:cs="Calibri"/>
                <w:b/>
                <w:sz w:val="22"/>
                <w:szCs w:val="22"/>
              </w:rPr>
              <w:t>2014</w:t>
            </w:r>
          </w:p>
        </w:tc>
        <w:tc>
          <w:tcPr>
            <w:tcW w:w="849" w:type="dxa"/>
            <w:tcBorders>
              <w:bottom w:val="single" w:sz="4" w:space="0" w:color="auto"/>
            </w:tcBorders>
            <w:shd w:val="clear" w:color="auto" w:fill="17365D" w:themeFill="text2" w:themeFillShade="BF"/>
          </w:tcPr>
          <w:p w14:paraId="0817666E" w14:textId="77777777" w:rsidR="00D54BE7" w:rsidRPr="002160E3" w:rsidRDefault="00D54BE7" w:rsidP="00812A3F">
            <w:pPr>
              <w:pStyle w:val="NoSpacing"/>
              <w:jc w:val="right"/>
              <w:rPr>
                <w:rFonts w:cs="Calibri"/>
                <w:b/>
                <w:sz w:val="22"/>
                <w:szCs w:val="22"/>
              </w:rPr>
            </w:pPr>
            <w:r w:rsidRPr="002160E3">
              <w:rPr>
                <w:rFonts w:cs="Calibri"/>
                <w:b/>
                <w:sz w:val="22"/>
                <w:szCs w:val="22"/>
              </w:rPr>
              <w:t>2015</w:t>
            </w:r>
          </w:p>
        </w:tc>
        <w:tc>
          <w:tcPr>
            <w:tcW w:w="747" w:type="dxa"/>
            <w:tcBorders>
              <w:bottom w:val="single" w:sz="4" w:space="0" w:color="auto"/>
            </w:tcBorders>
            <w:shd w:val="clear" w:color="auto" w:fill="17365D" w:themeFill="text2" w:themeFillShade="BF"/>
          </w:tcPr>
          <w:p w14:paraId="04C140F6" w14:textId="77777777" w:rsidR="00D54BE7" w:rsidRPr="002160E3" w:rsidRDefault="00D54BE7" w:rsidP="00D54BE7">
            <w:pPr>
              <w:pStyle w:val="NoSpacing"/>
              <w:jc w:val="right"/>
              <w:rPr>
                <w:rFonts w:cs="Calibri"/>
                <w:b/>
                <w:sz w:val="22"/>
                <w:szCs w:val="22"/>
              </w:rPr>
            </w:pPr>
            <w:r w:rsidRPr="002160E3">
              <w:rPr>
                <w:rFonts w:cs="Calibri"/>
                <w:b/>
                <w:sz w:val="22"/>
                <w:szCs w:val="22"/>
              </w:rPr>
              <w:t>2016</w:t>
            </w:r>
          </w:p>
        </w:tc>
      </w:tr>
      <w:tr w:rsidR="00D54BE7" w:rsidRPr="002160E3" w14:paraId="6A541BA7" w14:textId="77777777" w:rsidTr="00F25F59">
        <w:trPr>
          <w:trHeight w:val="244"/>
          <w:jc w:val="center"/>
        </w:trPr>
        <w:tc>
          <w:tcPr>
            <w:tcW w:w="2258" w:type="dxa"/>
            <w:shd w:val="clear" w:color="auto" w:fill="F2F2F2" w:themeFill="background1" w:themeFillShade="F2"/>
          </w:tcPr>
          <w:p w14:paraId="0166EAAD" w14:textId="77777777" w:rsidR="00D54BE7" w:rsidRPr="002160E3" w:rsidRDefault="00D54BE7" w:rsidP="00CB51CC">
            <w:pPr>
              <w:pStyle w:val="NoSpacing"/>
              <w:jc w:val="both"/>
              <w:rPr>
                <w:rFonts w:cs="Calibri"/>
                <w:sz w:val="22"/>
                <w:szCs w:val="22"/>
              </w:rPr>
            </w:pPr>
            <w:r w:rsidRPr="002160E3">
              <w:rPr>
                <w:rFonts w:cs="Calibri"/>
                <w:sz w:val="22"/>
                <w:szCs w:val="22"/>
              </w:rPr>
              <w:t>PAT (RO’000)</w:t>
            </w:r>
          </w:p>
        </w:tc>
        <w:tc>
          <w:tcPr>
            <w:tcW w:w="900" w:type="dxa"/>
            <w:shd w:val="clear" w:color="auto" w:fill="F2F2F2" w:themeFill="background1" w:themeFillShade="F2"/>
          </w:tcPr>
          <w:p w14:paraId="6445A851" w14:textId="77777777" w:rsidR="00D54BE7" w:rsidRPr="002160E3" w:rsidRDefault="00D54BE7" w:rsidP="00812A3F">
            <w:pPr>
              <w:pStyle w:val="NoSpacing"/>
              <w:jc w:val="right"/>
              <w:rPr>
                <w:rFonts w:eastAsiaTheme="minorEastAsia" w:cs="Calibri"/>
                <w:sz w:val="22"/>
                <w:szCs w:val="22"/>
              </w:rPr>
            </w:pPr>
            <w:r w:rsidRPr="002160E3">
              <w:rPr>
                <w:rFonts w:eastAsiaTheme="minorEastAsia" w:cs="Calibri"/>
                <w:sz w:val="22"/>
                <w:szCs w:val="22"/>
              </w:rPr>
              <w:t>3,051</w:t>
            </w:r>
          </w:p>
        </w:tc>
        <w:tc>
          <w:tcPr>
            <w:tcW w:w="849" w:type="dxa"/>
            <w:shd w:val="clear" w:color="auto" w:fill="F2F2F2" w:themeFill="background1" w:themeFillShade="F2"/>
          </w:tcPr>
          <w:p w14:paraId="5F57117A" w14:textId="77777777" w:rsidR="00D54BE7" w:rsidRPr="002160E3" w:rsidRDefault="00D54BE7" w:rsidP="00812A3F">
            <w:pPr>
              <w:pStyle w:val="NoSpacing"/>
              <w:jc w:val="right"/>
              <w:rPr>
                <w:rFonts w:eastAsiaTheme="minorEastAsia" w:cs="Calibri"/>
                <w:sz w:val="22"/>
                <w:szCs w:val="22"/>
              </w:rPr>
            </w:pPr>
            <w:r w:rsidRPr="002160E3">
              <w:rPr>
                <w:rFonts w:eastAsiaTheme="minorEastAsia" w:cs="Calibri"/>
                <w:sz w:val="22"/>
                <w:szCs w:val="22"/>
              </w:rPr>
              <w:t>4,668</w:t>
            </w:r>
          </w:p>
        </w:tc>
        <w:tc>
          <w:tcPr>
            <w:tcW w:w="747" w:type="dxa"/>
            <w:shd w:val="clear" w:color="auto" w:fill="F2F2F2" w:themeFill="background1" w:themeFillShade="F2"/>
          </w:tcPr>
          <w:p w14:paraId="2A4669C3" w14:textId="77777777" w:rsidR="00D54BE7" w:rsidRPr="002160E3" w:rsidRDefault="003C3DBA" w:rsidP="00212CDF">
            <w:pPr>
              <w:pStyle w:val="NoSpacing"/>
              <w:jc w:val="right"/>
              <w:rPr>
                <w:rFonts w:eastAsiaTheme="minorEastAsia" w:cs="Calibri"/>
                <w:sz w:val="22"/>
                <w:szCs w:val="22"/>
              </w:rPr>
            </w:pPr>
            <w:r w:rsidRPr="002160E3">
              <w:rPr>
                <w:rFonts w:eastAsiaTheme="minorEastAsia" w:cs="Calibri"/>
                <w:sz w:val="22"/>
                <w:szCs w:val="22"/>
              </w:rPr>
              <w:t>4,935</w:t>
            </w:r>
          </w:p>
        </w:tc>
      </w:tr>
      <w:tr w:rsidR="00D54BE7" w:rsidRPr="002160E3" w14:paraId="67158A28" w14:textId="77777777" w:rsidTr="00F25F59">
        <w:trPr>
          <w:trHeight w:val="244"/>
          <w:jc w:val="center"/>
        </w:trPr>
        <w:tc>
          <w:tcPr>
            <w:tcW w:w="2258" w:type="dxa"/>
            <w:shd w:val="clear" w:color="auto" w:fill="F2F2F2" w:themeFill="background1" w:themeFillShade="F2"/>
          </w:tcPr>
          <w:p w14:paraId="37B5D040" w14:textId="77777777" w:rsidR="00D54BE7" w:rsidRPr="002160E3" w:rsidRDefault="003C7BC1" w:rsidP="00CB51CC">
            <w:pPr>
              <w:pStyle w:val="NoSpacing"/>
              <w:jc w:val="both"/>
              <w:rPr>
                <w:rFonts w:cs="Calibri"/>
                <w:sz w:val="22"/>
                <w:szCs w:val="22"/>
              </w:rPr>
            </w:pPr>
            <w:r w:rsidRPr="002160E3">
              <w:rPr>
                <w:rFonts w:cs="Calibri"/>
                <w:sz w:val="22"/>
                <w:szCs w:val="22"/>
              </w:rPr>
              <w:t>*</w:t>
            </w:r>
            <w:r w:rsidR="00D54BE7" w:rsidRPr="002160E3">
              <w:rPr>
                <w:rFonts w:cs="Calibri"/>
                <w:sz w:val="22"/>
                <w:szCs w:val="22"/>
              </w:rPr>
              <w:t>EPS (RO per Share)</w:t>
            </w:r>
          </w:p>
        </w:tc>
        <w:tc>
          <w:tcPr>
            <w:tcW w:w="900" w:type="dxa"/>
            <w:shd w:val="clear" w:color="auto" w:fill="F2F2F2" w:themeFill="background1" w:themeFillShade="F2"/>
          </w:tcPr>
          <w:p w14:paraId="55030762" w14:textId="77777777" w:rsidR="00D54BE7" w:rsidRPr="002160E3" w:rsidRDefault="00D54BE7" w:rsidP="003C7BC1">
            <w:pPr>
              <w:pStyle w:val="NoSpacing"/>
              <w:jc w:val="right"/>
              <w:rPr>
                <w:rFonts w:eastAsiaTheme="minorEastAsia" w:cs="Calibri"/>
                <w:sz w:val="22"/>
                <w:szCs w:val="22"/>
              </w:rPr>
            </w:pPr>
            <w:r w:rsidRPr="002160E3">
              <w:rPr>
                <w:rFonts w:eastAsiaTheme="minorEastAsia" w:cs="Calibri"/>
                <w:sz w:val="22"/>
                <w:szCs w:val="22"/>
              </w:rPr>
              <w:t>0.02</w:t>
            </w:r>
            <w:r w:rsidR="003C7BC1" w:rsidRPr="002160E3">
              <w:rPr>
                <w:rFonts w:eastAsiaTheme="minorEastAsia" w:cs="Calibri"/>
                <w:sz w:val="22"/>
                <w:szCs w:val="22"/>
              </w:rPr>
              <w:t>0</w:t>
            </w:r>
          </w:p>
        </w:tc>
        <w:tc>
          <w:tcPr>
            <w:tcW w:w="849" w:type="dxa"/>
            <w:shd w:val="clear" w:color="auto" w:fill="F2F2F2" w:themeFill="background1" w:themeFillShade="F2"/>
          </w:tcPr>
          <w:p w14:paraId="703F1629" w14:textId="77777777" w:rsidR="00D54BE7" w:rsidRPr="002160E3" w:rsidRDefault="00D54BE7" w:rsidP="003C7BC1">
            <w:pPr>
              <w:pStyle w:val="NoSpacing"/>
              <w:jc w:val="right"/>
              <w:rPr>
                <w:rFonts w:eastAsiaTheme="minorEastAsia" w:cs="Calibri"/>
                <w:sz w:val="22"/>
                <w:szCs w:val="22"/>
              </w:rPr>
            </w:pPr>
            <w:r w:rsidRPr="002160E3">
              <w:rPr>
                <w:rFonts w:eastAsiaTheme="minorEastAsia" w:cs="Calibri"/>
                <w:sz w:val="22"/>
                <w:szCs w:val="22"/>
              </w:rPr>
              <w:t>0.03</w:t>
            </w:r>
            <w:r w:rsidR="003C7BC1" w:rsidRPr="002160E3">
              <w:rPr>
                <w:rFonts w:eastAsiaTheme="minorEastAsia" w:cs="Calibri"/>
                <w:sz w:val="22"/>
                <w:szCs w:val="22"/>
              </w:rPr>
              <w:t>1</w:t>
            </w:r>
          </w:p>
        </w:tc>
        <w:tc>
          <w:tcPr>
            <w:tcW w:w="747" w:type="dxa"/>
            <w:shd w:val="clear" w:color="auto" w:fill="F2F2F2" w:themeFill="background1" w:themeFillShade="F2"/>
          </w:tcPr>
          <w:p w14:paraId="3F4221C0" w14:textId="77777777" w:rsidR="00D54BE7" w:rsidRPr="002160E3" w:rsidRDefault="003C3DBA" w:rsidP="00212CDF">
            <w:pPr>
              <w:pStyle w:val="NoSpacing"/>
              <w:jc w:val="right"/>
              <w:rPr>
                <w:rFonts w:eastAsiaTheme="minorEastAsia" w:cs="Calibri"/>
                <w:sz w:val="22"/>
                <w:szCs w:val="22"/>
              </w:rPr>
            </w:pPr>
            <w:r w:rsidRPr="002160E3">
              <w:rPr>
                <w:rFonts w:eastAsiaTheme="minorEastAsia" w:cs="Calibri"/>
                <w:sz w:val="22"/>
                <w:szCs w:val="22"/>
              </w:rPr>
              <w:t>0.033</w:t>
            </w:r>
          </w:p>
        </w:tc>
      </w:tr>
      <w:tr w:rsidR="00D54BE7" w:rsidRPr="002160E3" w14:paraId="5EBA85D0" w14:textId="77777777" w:rsidTr="00F25F59">
        <w:trPr>
          <w:trHeight w:val="256"/>
          <w:jc w:val="center"/>
        </w:trPr>
        <w:tc>
          <w:tcPr>
            <w:tcW w:w="2258" w:type="dxa"/>
            <w:shd w:val="clear" w:color="auto" w:fill="F2F2F2" w:themeFill="background1" w:themeFillShade="F2"/>
          </w:tcPr>
          <w:p w14:paraId="4061FE57" w14:textId="77777777" w:rsidR="00D54BE7" w:rsidRPr="002160E3" w:rsidRDefault="003C7BC1" w:rsidP="00CB51CC">
            <w:pPr>
              <w:pStyle w:val="NoSpacing"/>
              <w:jc w:val="both"/>
              <w:rPr>
                <w:rFonts w:cs="Calibri"/>
                <w:sz w:val="22"/>
                <w:szCs w:val="22"/>
              </w:rPr>
            </w:pPr>
            <w:r w:rsidRPr="002160E3">
              <w:rPr>
                <w:rFonts w:cs="Calibri"/>
                <w:sz w:val="22"/>
                <w:szCs w:val="22"/>
              </w:rPr>
              <w:t>*</w:t>
            </w:r>
            <w:r w:rsidR="00D54BE7" w:rsidRPr="002160E3">
              <w:rPr>
                <w:rFonts w:cs="Calibri"/>
                <w:sz w:val="22"/>
                <w:szCs w:val="22"/>
              </w:rPr>
              <w:t>NAV (RO per Share)</w:t>
            </w:r>
          </w:p>
        </w:tc>
        <w:tc>
          <w:tcPr>
            <w:tcW w:w="900" w:type="dxa"/>
            <w:shd w:val="clear" w:color="auto" w:fill="F2F2F2" w:themeFill="background1" w:themeFillShade="F2"/>
          </w:tcPr>
          <w:p w14:paraId="0A673955" w14:textId="77777777" w:rsidR="00D54BE7" w:rsidRPr="002160E3" w:rsidRDefault="00D54BE7" w:rsidP="003C7BC1">
            <w:pPr>
              <w:pStyle w:val="NoSpacing"/>
              <w:jc w:val="right"/>
              <w:rPr>
                <w:rFonts w:cs="Calibri"/>
                <w:sz w:val="22"/>
                <w:szCs w:val="22"/>
              </w:rPr>
            </w:pPr>
            <w:r w:rsidRPr="002160E3">
              <w:rPr>
                <w:rFonts w:cs="Calibri"/>
                <w:sz w:val="22"/>
                <w:szCs w:val="22"/>
              </w:rPr>
              <w:t>0.1</w:t>
            </w:r>
            <w:r w:rsidR="003C7BC1" w:rsidRPr="002160E3">
              <w:rPr>
                <w:rFonts w:cs="Calibri"/>
                <w:sz w:val="22"/>
                <w:szCs w:val="22"/>
              </w:rPr>
              <w:t>61</w:t>
            </w:r>
          </w:p>
        </w:tc>
        <w:tc>
          <w:tcPr>
            <w:tcW w:w="849" w:type="dxa"/>
            <w:shd w:val="clear" w:color="auto" w:fill="F2F2F2" w:themeFill="background1" w:themeFillShade="F2"/>
          </w:tcPr>
          <w:p w14:paraId="350F30AB" w14:textId="77777777" w:rsidR="00D54BE7" w:rsidRPr="002160E3" w:rsidRDefault="00D54BE7" w:rsidP="003C7BC1">
            <w:pPr>
              <w:pStyle w:val="NoSpacing"/>
              <w:jc w:val="right"/>
              <w:rPr>
                <w:rFonts w:cs="Calibri"/>
                <w:sz w:val="22"/>
                <w:szCs w:val="22"/>
              </w:rPr>
            </w:pPr>
            <w:r w:rsidRPr="002160E3">
              <w:rPr>
                <w:rFonts w:cs="Calibri"/>
                <w:sz w:val="22"/>
                <w:szCs w:val="22"/>
              </w:rPr>
              <w:t>0.1</w:t>
            </w:r>
            <w:r w:rsidR="003C7BC1" w:rsidRPr="002160E3">
              <w:rPr>
                <w:rFonts w:cs="Calibri"/>
                <w:sz w:val="22"/>
                <w:szCs w:val="22"/>
              </w:rPr>
              <w:t>71</w:t>
            </w:r>
          </w:p>
        </w:tc>
        <w:tc>
          <w:tcPr>
            <w:tcW w:w="747" w:type="dxa"/>
            <w:shd w:val="clear" w:color="auto" w:fill="F2F2F2" w:themeFill="background1" w:themeFillShade="F2"/>
          </w:tcPr>
          <w:p w14:paraId="22CAF234" w14:textId="0E83B5C8" w:rsidR="00D54BE7" w:rsidRPr="002160E3" w:rsidRDefault="003C3DBA" w:rsidP="002557D2">
            <w:pPr>
              <w:pStyle w:val="NoSpacing"/>
              <w:jc w:val="right"/>
              <w:rPr>
                <w:rFonts w:cs="Calibri"/>
                <w:sz w:val="22"/>
                <w:szCs w:val="22"/>
              </w:rPr>
            </w:pPr>
            <w:r w:rsidRPr="002160E3">
              <w:rPr>
                <w:rFonts w:cs="Calibri"/>
                <w:sz w:val="22"/>
                <w:szCs w:val="22"/>
              </w:rPr>
              <w:t>0.</w:t>
            </w:r>
            <w:r w:rsidR="002557D2">
              <w:rPr>
                <w:rFonts w:cs="Calibri"/>
                <w:sz w:val="22"/>
                <w:szCs w:val="22"/>
              </w:rPr>
              <w:t>201</w:t>
            </w:r>
          </w:p>
        </w:tc>
      </w:tr>
    </w:tbl>
    <w:p w14:paraId="34AC5CFF" w14:textId="77777777" w:rsidR="00F25F59" w:rsidRPr="002160E3" w:rsidRDefault="003C7BC1" w:rsidP="003C7BC1">
      <w:pPr>
        <w:spacing w:after="120" w:line="240" w:lineRule="auto"/>
        <w:ind w:left="2160" w:firstLine="720"/>
        <w:jc w:val="both"/>
        <w:rPr>
          <w:rFonts w:asciiTheme="minorHAnsi" w:hAnsiTheme="minorHAnsi"/>
          <w:i/>
        </w:rPr>
      </w:pPr>
      <w:r w:rsidRPr="002160E3">
        <w:rPr>
          <w:rFonts w:asciiTheme="minorHAnsi" w:hAnsiTheme="minorHAnsi"/>
          <w:i/>
        </w:rPr>
        <w:t>* Historical adjusted for stock dividends.</w:t>
      </w:r>
    </w:p>
    <w:p w14:paraId="537873B5" w14:textId="5DD5CDA0" w:rsidR="0095475F" w:rsidRPr="002160E3" w:rsidRDefault="0095475F" w:rsidP="0095475F">
      <w:pPr>
        <w:spacing w:after="120" w:line="240" w:lineRule="auto"/>
        <w:jc w:val="both"/>
        <w:rPr>
          <w:rFonts w:asciiTheme="minorHAnsi" w:hAnsiTheme="minorHAnsi"/>
        </w:rPr>
      </w:pPr>
      <w:r w:rsidRPr="002160E3">
        <w:rPr>
          <w:rFonts w:asciiTheme="minorHAnsi" w:hAnsiTheme="minorHAnsi"/>
        </w:rPr>
        <w:t>In view of available profit,</w:t>
      </w:r>
      <w:r w:rsidR="00B259E4" w:rsidRPr="002160E3">
        <w:rPr>
          <w:rFonts w:asciiTheme="minorHAnsi" w:hAnsiTheme="minorHAnsi"/>
        </w:rPr>
        <w:t xml:space="preserve"> </w:t>
      </w:r>
      <w:r w:rsidRPr="002160E3">
        <w:rPr>
          <w:rFonts w:asciiTheme="minorHAnsi" w:hAnsiTheme="minorHAnsi"/>
        </w:rPr>
        <w:t xml:space="preserve">the Board of Directors </w:t>
      </w:r>
      <w:r w:rsidR="008230C5" w:rsidRPr="002160E3">
        <w:rPr>
          <w:rFonts w:asciiTheme="minorHAnsi" w:hAnsiTheme="minorHAnsi"/>
        </w:rPr>
        <w:t>is</w:t>
      </w:r>
      <w:r w:rsidRPr="002160E3">
        <w:rPr>
          <w:rFonts w:asciiTheme="minorHAnsi" w:hAnsiTheme="minorHAnsi"/>
        </w:rPr>
        <w:t xml:space="preserve"> pleased to recommend a </w:t>
      </w:r>
      <w:r w:rsidR="00E229C3">
        <w:rPr>
          <w:rFonts w:asciiTheme="minorHAnsi" w:hAnsiTheme="minorHAnsi"/>
        </w:rPr>
        <w:t>10%</w:t>
      </w:r>
      <w:r w:rsidR="00535FE1" w:rsidRPr="002160E3">
        <w:rPr>
          <w:rFonts w:asciiTheme="minorHAnsi" w:hAnsiTheme="minorHAnsi"/>
        </w:rPr>
        <w:t xml:space="preserve"> cash dividend (last year </w:t>
      </w:r>
      <w:r w:rsidR="00343023" w:rsidRPr="002160E3">
        <w:rPr>
          <w:rFonts w:asciiTheme="minorHAnsi" w:hAnsiTheme="minorHAnsi"/>
        </w:rPr>
        <w:t>10</w:t>
      </w:r>
      <w:r w:rsidR="00535FE1" w:rsidRPr="002160E3">
        <w:rPr>
          <w:rFonts w:asciiTheme="minorHAnsi" w:hAnsiTheme="minorHAnsi"/>
        </w:rPr>
        <w:t>%)</w:t>
      </w:r>
      <w:r w:rsidR="00B259E4" w:rsidRPr="002160E3">
        <w:rPr>
          <w:rFonts w:asciiTheme="minorHAnsi" w:hAnsiTheme="minorHAnsi"/>
        </w:rPr>
        <w:t xml:space="preserve"> and a </w:t>
      </w:r>
      <w:r w:rsidR="00E229C3">
        <w:rPr>
          <w:rFonts w:asciiTheme="minorHAnsi" w:hAnsiTheme="minorHAnsi"/>
        </w:rPr>
        <w:t xml:space="preserve">16.61% </w:t>
      </w:r>
      <w:r w:rsidR="00B259E4" w:rsidRPr="002160E3">
        <w:rPr>
          <w:rFonts w:asciiTheme="minorHAnsi" w:hAnsiTheme="minorHAnsi"/>
        </w:rPr>
        <w:t xml:space="preserve">stock dividend (last year </w:t>
      </w:r>
      <w:r w:rsidR="00D54BE7" w:rsidRPr="002160E3">
        <w:rPr>
          <w:rFonts w:asciiTheme="minorHAnsi" w:hAnsiTheme="minorHAnsi"/>
        </w:rPr>
        <w:t>15.0</w:t>
      </w:r>
      <w:r w:rsidR="00343023" w:rsidRPr="002160E3">
        <w:rPr>
          <w:rFonts w:asciiTheme="minorHAnsi" w:hAnsiTheme="minorHAnsi"/>
        </w:rPr>
        <w:t>%</w:t>
      </w:r>
      <w:r w:rsidR="00B259E4" w:rsidRPr="002160E3">
        <w:rPr>
          <w:rFonts w:asciiTheme="minorHAnsi" w:hAnsiTheme="minorHAnsi"/>
        </w:rPr>
        <w:t>)</w:t>
      </w:r>
      <w:r w:rsidRPr="002160E3">
        <w:rPr>
          <w:rFonts w:asciiTheme="minorHAnsi" w:hAnsiTheme="minorHAnsi"/>
        </w:rPr>
        <w:t>.</w:t>
      </w:r>
    </w:p>
    <w:p w14:paraId="4EFBD51F" w14:textId="77777777" w:rsidR="004B0858" w:rsidRPr="002160E3" w:rsidRDefault="005D128B" w:rsidP="00E72F6E">
      <w:pPr>
        <w:jc w:val="both"/>
        <w:rPr>
          <w:rFonts w:asciiTheme="minorHAnsi" w:hAnsiTheme="minorHAnsi"/>
          <w:lang w:val="en-GB"/>
        </w:rPr>
      </w:pPr>
      <w:r w:rsidRPr="002160E3">
        <w:rPr>
          <w:rFonts w:asciiTheme="minorHAnsi" w:hAnsiTheme="minorHAnsi"/>
          <w:lang w:val="en-GB"/>
        </w:rPr>
        <w:t xml:space="preserve">We acknowledge the Board of Directors for their wisdom and guidance which has helped us </w:t>
      </w:r>
      <w:r w:rsidR="008A61E0" w:rsidRPr="002160E3">
        <w:rPr>
          <w:rFonts w:asciiTheme="minorHAnsi" w:hAnsiTheme="minorHAnsi"/>
          <w:lang w:val="en-GB"/>
        </w:rPr>
        <w:t xml:space="preserve">in </w:t>
      </w:r>
      <w:r w:rsidRPr="002160E3">
        <w:rPr>
          <w:rFonts w:asciiTheme="minorHAnsi" w:hAnsiTheme="minorHAnsi"/>
          <w:lang w:val="en-GB"/>
        </w:rPr>
        <w:t>successful implement</w:t>
      </w:r>
      <w:r w:rsidR="008A61E0" w:rsidRPr="002160E3">
        <w:rPr>
          <w:rFonts w:asciiTheme="minorHAnsi" w:hAnsiTheme="minorHAnsi"/>
          <w:lang w:val="en-GB"/>
        </w:rPr>
        <w:t>ation of</w:t>
      </w:r>
      <w:r w:rsidRPr="002160E3">
        <w:rPr>
          <w:rFonts w:asciiTheme="minorHAnsi" w:hAnsiTheme="minorHAnsi"/>
          <w:lang w:val="en-GB"/>
        </w:rPr>
        <w:t xml:space="preserve"> our strategies</w:t>
      </w:r>
      <w:r w:rsidR="008A61E0" w:rsidRPr="002160E3">
        <w:rPr>
          <w:rFonts w:asciiTheme="minorHAnsi" w:hAnsiTheme="minorHAnsi"/>
          <w:lang w:val="en-GB"/>
        </w:rPr>
        <w:t>. Further</w:t>
      </w:r>
      <w:r w:rsidR="00735B0C" w:rsidRPr="002160E3">
        <w:rPr>
          <w:rFonts w:asciiTheme="minorHAnsi" w:hAnsiTheme="minorHAnsi"/>
          <w:lang w:val="en-GB"/>
        </w:rPr>
        <w:t>,</w:t>
      </w:r>
      <w:r w:rsidR="008A61E0" w:rsidRPr="002160E3">
        <w:rPr>
          <w:rFonts w:asciiTheme="minorHAnsi" w:hAnsiTheme="minorHAnsi"/>
          <w:lang w:val="en-GB"/>
        </w:rPr>
        <w:t xml:space="preserve"> we</w:t>
      </w:r>
      <w:r w:rsidR="00C7489A" w:rsidRPr="002160E3">
        <w:rPr>
          <w:rFonts w:asciiTheme="minorHAnsi" w:hAnsiTheme="minorHAnsi"/>
          <w:lang w:val="en-GB"/>
        </w:rPr>
        <w:t xml:space="preserve"> humbly appreciate the confidence entrusted by our shareholders and support extended by our Banking partners</w:t>
      </w:r>
      <w:r w:rsidRPr="002160E3">
        <w:rPr>
          <w:rFonts w:asciiTheme="minorHAnsi" w:hAnsiTheme="minorHAnsi"/>
          <w:lang w:val="en-GB"/>
        </w:rPr>
        <w:t xml:space="preserve">. </w:t>
      </w:r>
    </w:p>
    <w:p w14:paraId="2E2BF575" w14:textId="77777777" w:rsidR="005F5978" w:rsidRPr="002160E3" w:rsidRDefault="005F5978" w:rsidP="00E72F6E">
      <w:pPr>
        <w:jc w:val="both"/>
        <w:rPr>
          <w:rFonts w:asciiTheme="minorHAnsi" w:hAnsiTheme="minorHAnsi"/>
          <w:lang w:val="en-GB"/>
        </w:rPr>
      </w:pPr>
      <w:r w:rsidRPr="002160E3">
        <w:rPr>
          <w:rFonts w:asciiTheme="minorHAnsi" w:hAnsiTheme="minorHAnsi"/>
          <w:lang w:val="en-GB"/>
        </w:rPr>
        <w:t>Kind Regards,</w:t>
      </w:r>
    </w:p>
    <w:p w14:paraId="67745242" w14:textId="77777777" w:rsidR="00C36380" w:rsidRPr="002160E3" w:rsidRDefault="00C36380" w:rsidP="00E72F6E">
      <w:pPr>
        <w:spacing w:after="0"/>
        <w:jc w:val="both"/>
        <w:rPr>
          <w:rFonts w:asciiTheme="minorHAnsi" w:hAnsiTheme="minorHAnsi"/>
          <w:lang w:val="en-GB"/>
        </w:rPr>
      </w:pPr>
    </w:p>
    <w:p w14:paraId="74849620" w14:textId="77777777" w:rsidR="00C36380" w:rsidRPr="002160E3" w:rsidRDefault="00C36380" w:rsidP="00E72F6E">
      <w:pPr>
        <w:spacing w:after="0"/>
        <w:jc w:val="both"/>
        <w:rPr>
          <w:rFonts w:asciiTheme="minorHAnsi" w:hAnsiTheme="minorHAnsi"/>
          <w:lang w:val="en-GB"/>
        </w:rPr>
      </w:pPr>
    </w:p>
    <w:p w14:paraId="1D8035E6" w14:textId="77777777" w:rsidR="00C36380" w:rsidRPr="002160E3" w:rsidRDefault="00C36380" w:rsidP="00E72F6E">
      <w:pPr>
        <w:spacing w:after="0"/>
        <w:jc w:val="both"/>
        <w:rPr>
          <w:rFonts w:asciiTheme="minorHAnsi" w:hAnsiTheme="minorHAnsi"/>
          <w:lang w:val="en-GB"/>
        </w:rPr>
      </w:pPr>
    </w:p>
    <w:p w14:paraId="5AA07E29" w14:textId="77777777" w:rsidR="00BB2159" w:rsidRPr="002160E3" w:rsidRDefault="00A57431" w:rsidP="00E72F6E">
      <w:pPr>
        <w:spacing w:after="0"/>
        <w:jc w:val="both"/>
        <w:rPr>
          <w:rFonts w:asciiTheme="minorHAnsi" w:hAnsiTheme="minorHAnsi"/>
          <w:lang w:val="en-GB"/>
        </w:rPr>
      </w:pPr>
      <w:r w:rsidRPr="002160E3">
        <w:rPr>
          <w:rFonts w:asciiTheme="minorHAnsi" w:hAnsiTheme="minorHAnsi"/>
          <w:lang w:val="en-GB"/>
        </w:rPr>
        <w:t>Reji Joseph</w:t>
      </w:r>
    </w:p>
    <w:p w14:paraId="5A14E148" w14:textId="77777777" w:rsidR="003071A3" w:rsidRPr="002160E3" w:rsidRDefault="00A57431" w:rsidP="00A57431">
      <w:pPr>
        <w:spacing w:after="0"/>
        <w:jc w:val="both"/>
        <w:rPr>
          <w:rFonts w:asciiTheme="minorHAnsi" w:hAnsiTheme="minorHAnsi"/>
          <w:lang w:val="en-GB"/>
        </w:rPr>
      </w:pPr>
      <w:r w:rsidRPr="002160E3">
        <w:rPr>
          <w:rFonts w:asciiTheme="minorHAnsi" w:hAnsiTheme="minorHAnsi"/>
          <w:lang w:val="en-GB"/>
        </w:rPr>
        <w:t>Chief Executive Officer</w:t>
      </w:r>
    </w:p>
    <w:sectPr w:rsidR="003071A3" w:rsidRPr="002160E3" w:rsidSect="009B177C">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7275F" w14:textId="77777777" w:rsidR="00725FEF" w:rsidRDefault="00725FEF" w:rsidP="005B5616">
      <w:pPr>
        <w:spacing w:after="0" w:line="240" w:lineRule="auto"/>
      </w:pPr>
      <w:r>
        <w:separator/>
      </w:r>
    </w:p>
  </w:endnote>
  <w:endnote w:type="continuationSeparator" w:id="0">
    <w:p w14:paraId="38B9F388" w14:textId="77777777" w:rsidR="00725FEF" w:rsidRDefault="00725FEF" w:rsidP="005B5616">
      <w:pPr>
        <w:spacing w:after="0" w:line="240" w:lineRule="auto"/>
      </w:pPr>
      <w:r>
        <w:continuationSeparator/>
      </w:r>
    </w:p>
  </w:endnote>
  <w:endnote w:type="continuationNotice" w:id="1">
    <w:p w14:paraId="03EA0138" w14:textId="77777777" w:rsidR="00725FEF" w:rsidRDefault="00725F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634269"/>
      <w:docPartObj>
        <w:docPartGallery w:val="Page Numbers (Bottom of Page)"/>
        <w:docPartUnique/>
      </w:docPartObj>
    </w:sdtPr>
    <w:sdtEndPr/>
    <w:sdtContent>
      <w:p w14:paraId="6E1360B1" w14:textId="77777777" w:rsidR="002F1C1B" w:rsidRDefault="002F1C1B">
        <w:pPr>
          <w:pStyle w:val="Footer"/>
          <w:jc w:val="right"/>
        </w:pPr>
        <w:r>
          <w:t xml:space="preserve">Page | </w:t>
        </w:r>
        <w:r>
          <w:fldChar w:fldCharType="begin"/>
        </w:r>
        <w:r>
          <w:instrText xml:space="preserve"> PAGE   \* MERGEFORMAT </w:instrText>
        </w:r>
        <w:r>
          <w:fldChar w:fldCharType="separate"/>
        </w:r>
        <w:r w:rsidR="002557D2">
          <w:rPr>
            <w:noProof/>
          </w:rPr>
          <w:t>1</w:t>
        </w:r>
        <w:r>
          <w:rPr>
            <w:noProof/>
          </w:rPr>
          <w:fldChar w:fldCharType="end"/>
        </w:r>
        <w:r>
          <w:t xml:space="preserve"> </w:t>
        </w:r>
      </w:p>
    </w:sdtContent>
  </w:sdt>
  <w:p w14:paraId="787168D3" w14:textId="77777777" w:rsidR="002F1C1B" w:rsidRDefault="002F1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258CF" w14:textId="77777777" w:rsidR="00725FEF" w:rsidRDefault="00725FEF" w:rsidP="005B5616">
      <w:pPr>
        <w:spacing w:after="0" w:line="240" w:lineRule="auto"/>
      </w:pPr>
      <w:r>
        <w:separator/>
      </w:r>
    </w:p>
  </w:footnote>
  <w:footnote w:type="continuationSeparator" w:id="0">
    <w:p w14:paraId="4CF0FA45" w14:textId="77777777" w:rsidR="00725FEF" w:rsidRDefault="00725FEF" w:rsidP="005B5616">
      <w:pPr>
        <w:spacing w:after="0" w:line="240" w:lineRule="auto"/>
      </w:pPr>
      <w:r>
        <w:continuationSeparator/>
      </w:r>
    </w:p>
  </w:footnote>
  <w:footnote w:type="continuationNotice" w:id="1">
    <w:p w14:paraId="3EE668E6" w14:textId="77777777" w:rsidR="00725FEF" w:rsidRDefault="00725F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C3A5" w14:textId="77777777" w:rsidR="00E077F5" w:rsidRDefault="00E07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0C4"/>
    <w:multiLevelType w:val="hybridMultilevel"/>
    <w:tmpl w:val="017C4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344D6"/>
    <w:multiLevelType w:val="hybridMultilevel"/>
    <w:tmpl w:val="6010A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126C91"/>
    <w:multiLevelType w:val="hybridMultilevel"/>
    <w:tmpl w:val="9AF8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4112D"/>
    <w:multiLevelType w:val="hybridMultilevel"/>
    <w:tmpl w:val="17E6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F12B9"/>
    <w:multiLevelType w:val="hybridMultilevel"/>
    <w:tmpl w:val="4750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20DD8"/>
    <w:multiLevelType w:val="hybridMultilevel"/>
    <w:tmpl w:val="90C207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FA3646E"/>
    <w:multiLevelType w:val="hybridMultilevel"/>
    <w:tmpl w:val="4158434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333101F"/>
    <w:multiLevelType w:val="hybridMultilevel"/>
    <w:tmpl w:val="5472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459CE"/>
    <w:multiLevelType w:val="hybridMultilevel"/>
    <w:tmpl w:val="06F8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41C3D"/>
    <w:multiLevelType w:val="hybridMultilevel"/>
    <w:tmpl w:val="0E227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20018F"/>
    <w:multiLevelType w:val="hybridMultilevel"/>
    <w:tmpl w:val="03621B3C"/>
    <w:lvl w:ilvl="0" w:tplc="B652FB3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C809CF"/>
    <w:multiLevelType w:val="hybridMultilevel"/>
    <w:tmpl w:val="EDF42E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0E340E"/>
    <w:multiLevelType w:val="hybridMultilevel"/>
    <w:tmpl w:val="0BF0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D2889"/>
    <w:multiLevelType w:val="hybridMultilevel"/>
    <w:tmpl w:val="9E3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C2660"/>
    <w:multiLevelType w:val="hybridMultilevel"/>
    <w:tmpl w:val="C392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E0F3A"/>
    <w:multiLevelType w:val="hybridMultilevel"/>
    <w:tmpl w:val="D108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565F0"/>
    <w:multiLevelType w:val="hybridMultilevel"/>
    <w:tmpl w:val="D8C2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61418"/>
    <w:multiLevelType w:val="hybridMultilevel"/>
    <w:tmpl w:val="3DDC790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8">
    <w:nsid w:val="4A560942"/>
    <w:multiLevelType w:val="hybridMultilevel"/>
    <w:tmpl w:val="ECEE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A06C3"/>
    <w:multiLevelType w:val="hybridMultilevel"/>
    <w:tmpl w:val="28F0E5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811D2"/>
    <w:multiLevelType w:val="hybridMultilevel"/>
    <w:tmpl w:val="A2AA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6270D"/>
    <w:multiLevelType w:val="hybridMultilevel"/>
    <w:tmpl w:val="CAA83E7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569A0D7C"/>
    <w:multiLevelType w:val="hybridMultilevel"/>
    <w:tmpl w:val="FE98B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9215E0"/>
    <w:multiLevelType w:val="hybridMultilevel"/>
    <w:tmpl w:val="D7E2AA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77570"/>
    <w:multiLevelType w:val="hybridMultilevel"/>
    <w:tmpl w:val="3ACA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33BA0"/>
    <w:multiLevelType w:val="hybridMultilevel"/>
    <w:tmpl w:val="CAB04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A32607"/>
    <w:multiLevelType w:val="hybridMultilevel"/>
    <w:tmpl w:val="33EC613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B7848"/>
    <w:multiLevelType w:val="hybridMultilevel"/>
    <w:tmpl w:val="99F8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A5EC8"/>
    <w:multiLevelType w:val="hybridMultilevel"/>
    <w:tmpl w:val="E082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E4EAE"/>
    <w:multiLevelType w:val="hybridMultilevel"/>
    <w:tmpl w:val="80B8AAC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937E7"/>
    <w:multiLevelType w:val="hybridMultilevel"/>
    <w:tmpl w:val="46B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064771"/>
    <w:multiLevelType w:val="hybridMultilevel"/>
    <w:tmpl w:val="0BA8876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2">
    <w:nsid w:val="76F56181"/>
    <w:multiLevelType w:val="hybridMultilevel"/>
    <w:tmpl w:val="CD0A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B262B"/>
    <w:multiLevelType w:val="hybridMultilevel"/>
    <w:tmpl w:val="E256BED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31"/>
  </w:num>
  <w:num w:numId="4">
    <w:abstractNumId w:val="2"/>
  </w:num>
  <w:num w:numId="5">
    <w:abstractNumId w:val="32"/>
  </w:num>
  <w:num w:numId="6">
    <w:abstractNumId w:val="9"/>
  </w:num>
  <w:num w:numId="7">
    <w:abstractNumId w:val="21"/>
  </w:num>
  <w:num w:numId="8">
    <w:abstractNumId w:val="17"/>
  </w:num>
  <w:num w:numId="9">
    <w:abstractNumId w:val="15"/>
  </w:num>
  <w:num w:numId="10">
    <w:abstractNumId w:val="1"/>
  </w:num>
  <w:num w:numId="11">
    <w:abstractNumId w:val="10"/>
  </w:num>
  <w:num w:numId="12">
    <w:abstractNumId w:val="5"/>
  </w:num>
  <w:num w:numId="13">
    <w:abstractNumId w:val="14"/>
  </w:num>
  <w:num w:numId="14">
    <w:abstractNumId w:val="6"/>
  </w:num>
  <w:num w:numId="15">
    <w:abstractNumId w:val="8"/>
  </w:num>
  <w:num w:numId="16">
    <w:abstractNumId w:val="4"/>
  </w:num>
  <w:num w:numId="17">
    <w:abstractNumId w:val="0"/>
  </w:num>
  <w:num w:numId="18">
    <w:abstractNumId w:val="30"/>
  </w:num>
  <w:num w:numId="19">
    <w:abstractNumId w:val="13"/>
  </w:num>
  <w:num w:numId="20">
    <w:abstractNumId w:val="7"/>
  </w:num>
  <w:num w:numId="21">
    <w:abstractNumId w:val="20"/>
  </w:num>
  <w:num w:numId="22">
    <w:abstractNumId w:val="16"/>
  </w:num>
  <w:num w:numId="23">
    <w:abstractNumId w:val="22"/>
  </w:num>
  <w:num w:numId="24">
    <w:abstractNumId w:val="24"/>
  </w:num>
  <w:num w:numId="25">
    <w:abstractNumId w:val="25"/>
  </w:num>
  <w:num w:numId="26">
    <w:abstractNumId w:val="19"/>
  </w:num>
  <w:num w:numId="27">
    <w:abstractNumId w:val="3"/>
  </w:num>
  <w:num w:numId="28">
    <w:abstractNumId w:val="11"/>
  </w:num>
  <w:num w:numId="29">
    <w:abstractNumId w:val="28"/>
  </w:num>
  <w:num w:numId="30">
    <w:abstractNumId w:val="23"/>
  </w:num>
  <w:num w:numId="31">
    <w:abstractNumId w:val="26"/>
  </w:num>
  <w:num w:numId="32">
    <w:abstractNumId w:val="29"/>
  </w:num>
  <w:num w:numId="33">
    <w:abstractNumId w:val="3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D9"/>
    <w:rsid w:val="00005E68"/>
    <w:rsid w:val="00006D68"/>
    <w:rsid w:val="00012445"/>
    <w:rsid w:val="00012495"/>
    <w:rsid w:val="00013C3D"/>
    <w:rsid w:val="0001653E"/>
    <w:rsid w:val="0002117D"/>
    <w:rsid w:val="00023350"/>
    <w:rsid w:val="00026DBD"/>
    <w:rsid w:val="000310E4"/>
    <w:rsid w:val="00034E89"/>
    <w:rsid w:val="00034F5B"/>
    <w:rsid w:val="00040C8B"/>
    <w:rsid w:val="00041E98"/>
    <w:rsid w:val="0004401A"/>
    <w:rsid w:val="000500F7"/>
    <w:rsid w:val="00053662"/>
    <w:rsid w:val="00055016"/>
    <w:rsid w:val="0005761D"/>
    <w:rsid w:val="00060A3F"/>
    <w:rsid w:val="0006226C"/>
    <w:rsid w:val="000631AA"/>
    <w:rsid w:val="0006605E"/>
    <w:rsid w:val="0007467D"/>
    <w:rsid w:val="00076CF4"/>
    <w:rsid w:val="0008314B"/>
    <w:rsid w:val="00086AE9"/>
    <w:rsid w:val="0008791D"/>
    <w:rsid w:val="00087CB3"/>
    <w:rsid w:val="000945EB"/>
    <w:rsid w:val="00095BA0"/>
    <w:rsid w:val="000969A7"/>
    <w:rsid w:val="000A3E5C"/>
    <w:rsid w:val="000A5D2A"/>
    <w:rsid w:val="000A64FF"/>
    <w:rsid w:val="000D0550"/>
    <w:rsid w:val="000D1D2F"/>
    <w:rsid w:val="000D3C70"/>
    <w:rsid w:val="000E3BD7"/>
    <w:rsid w:val="00104FC7"/>
    <w:rsid w:val="0013026E"/>
    <w:rsid w:val="00136174"/>
    <w:rsid w:val="00140095"/>
    <w:rsid w:val="0015214A"/>
    <w:rsid w:val="00152C1A"/>
    <w:rsid w:val="00154082"/>
    <w:rsid w:val="00161D0A"/>
    <w:rsid w:val="00162590"/>
    <w:rsid w:val="00170605"/>
    <w:rsid w:val="001710FB"/>
    <w:rsid w:val="00183E45"/>
    <w:rsid w:val="00191914"/>
    <w:rsid w:val="00194DCD"/>
    <w:rsid w:val="00195CEC"/>
    <w:rsid w:val="00196814"/>
    <w:rsid w:val="00197F40"/>
    <w:rsid w:val="001A4C50"/>
    <w:rsid w:val="001A4D52"/>
    <w:rsid w:val="001B4B6E"/>
    <w:rsid w:val="001C0408"/>
    <w:rsid w:val="001C3D97"/>
    <w:rsid w:val="001D1239"/>
    <w:rsid w:val="001D3591"/>
    <w:rsid w:val="001D47BD"/>
    <w:rsid w:val="001E4587"/>
    <w:rsid w:val="001E70A2"/>
    <w:rsid w:val="001F5014"/>
    <w:rsid w:val="00200240"/>
    <w:rsid w:val="00200C57"/>
    <w:rsid w:val="00212CDF"/>
    <w:rsid w:val="00215916"/>
    <w:rsid w:val="0021600B"/>
    <w:rsid w:val="002160E3"/>
    <w:rsid w:val="0023211A"/>
    <w:rsid w:val="00233595"/>
    <w:rsid w:val="002349B2"/>
    <w:rsid w:val="00255166"/>
    <w:rsid w:val="002557D2"/>
    <w:rsid w:val="00256C0A"/>
    <w:rsid w:val="00256CF3"/>
    <w:rsid w:val="002622A8"/>
    <w:rsid w:val="00267F29"/>
    <w:rsid w:val="002768EB"/>
    <w:rsid w:val="00286751"/>
    <w:rsid w:val="00295FD2"/>
    <w:rsid w:val="002A6277"/>
    <w:rsid w:val="002B07F6"/>
    <w:rsid w:val="002B45C8"/>
    <w:rsid w:val="002B565B"/>
    <w:rsid w:val="002C26BC"/>
    <w:rsid w:val="002D7257"/>
    <w:rsid w:val="002E35DC"/>
    <w:rsid w:val="002F1C1B"/>
    <w:rsid w:val="002F6C81"/>
    <w:rsid w:val="003071A3"/>
    <w:rsid w:val="00310459"/>
    <w:rsid w:val="00312346"/>
    <w:rsid w:val="003131E5"/>
    <w:rsid w:val="00322CC2"/>
    <w:rsid w:val="00323167"/>
    <w:rsid w:val="00336B76"/>
    <w:rsid w:val="00340C1D"/>
    <w:rsid w:val="00343023"/>
    <w:rsid w:val="0036458D"/>
    <w:rsid w:val="00370849"/>
    <w:rsid w:val="00375BEC"/>
    <w:rsid w:val="00380E34"/>
    <w:rsid w:val="00382A12"/>
    <w:rsid w:val="00384430"/>
    <w:rsid w:val="003873F5"/>
    <w:rsid w:val="00387691"/>
    <w:rsid w:val="00393B88"/>
    <w:rsid w:val="00393E15"/>
    <w:rsid w:val="0039510C"/>
    <w:rsid w:val="003973E0"/>
    <w:rsid w:val="003A75CB"/>
    <w:rsid w:val="003B51F9"/>
    <w:rsid w:val="003C0E6D"/>
    <w:rsid w:val="003C3DBA"/>
    <w:rsid w:val="003C7BC1"/>
    <w:rsid w:val="003D37C3"/>
    <w:rsid w:val="003E36B5"/>
    <w:rsid w:val="003F3349"/>
    <w:rsid w:val="003F5DA9"/>
    <w:rsid w:val="004038AA"/>
    <w:rsid w:val="004065B4"/>
    <w:rsid w:val="004114B8"/>
    <w:rsid w:val="00421208"/>
    <w:rsid w:val="00421F6A"/>
    <w:rsid w:val="00423696"/>
    <w:rsid w:val="00424144"/>
    <w:rsid w:val="0042428C"/>
    <w:rsid w:val="0042478B"/>
    <w:rsid w:val="00425CB2"/>
    <w:rsid w:val="0045247B"/>
    <w:rsid w:val="00464A5D"/>
    <w:rsid w:val="004677BB"/>
    <w:rsid w:val="00473493"/>
    <w:rsid w:val="00475C07"/>
    <w:rsid w:val="0047624B"/>
    <w:rsid w:val="00481088"/>
    <w:rsid w:val="00482417"/>
    <w:rsid w:val="004934F8"/>
    <w:rsid w:val="004B0858"/>
    <w:rsid w:val="004B101C"/>
    <w:rsid w:val="004B40D8"/>
    <w:rsid w:val="004C0847"/>
    <w:rsid w:val="004C1208"/>
    <w:rsid w:val="004C1DB1"/>
    <w:rsid w:val="004D2145"/>
    <w:rsid w:val="004E0338"/>
    <w:rsid w:val="004E2189"/>
    <w:rsid w:val="004E528D"/>
    <w:rsid w:val="004E68F3"/>
    <w:rsid w:val="005020ED"/>
    <w:rsid w:val="00502890"/>
    <w:rsid w:val="00507F31"/>
    <w:rsid w:val="0051746C"/>
    <w:rsid w:val="00521B27"/>
    <w:rsid w:val="0053291F"/>
    <w:rsid w:val="00532C51"/>
    <w:rsid w:val="00535FE1"/>
    <w:rsid w:val="0055325D"/>
    <w:rsid w:val="005532F5"/>
    <w:rsid w:val="005617AC"/>
    <w:rsid w:val="00562C8A"/>
    <w:rsid w:val="00564F0B"/>
    <w:rsid w:val="0056630B"/>
    <w:rsid w:val="005702AB"/>
    <w:rsid w:val="005715DF"/>
    <w:rsid w:val="00571705"/>
    <w:rsid w:val="0057405C"/>
    <w:rsid w:val="00576A31"/>
    <w:rsid w:val="005817DA"/>
    <w:rsid w:val="005823E6"/>
    <w:rsid w:val="005835F6"/>
    <w:rsid w:val="005872E9"/>
    <w:rsid w:val="005928ED"/>
    <w:rsid w:val="005A45B3"/>
    <w:rsid w:val="005B056B"/>
    <w:rsid w:val="005B11D0"/>
    <w:rsid w:val="005B5616"/>
    <w:rsid w:val="005C14B4"/>
    <w:rsid w:val="005D128B"/>
    <w:rsid w:val="005D2673"/>
    <w:rsid w:val="005D5EE9"/>
    <w:rsid w:val="005D7C32"/>
    <w:rsid w:val="005E0CD0"/>
    <w:rsid w:val="005E289A"/>
    <w:rsid w:val="005E2FD7"/>
    <w:rsid w:val="005E42FF"/>
    <w:rsid w:val="005F40EB"/>
    <w:rsid w:val="005F5978"/>
    <w:rsid w:val="006005D5"/>
    <w:rsid w:val="006248C4"/>
    <w:rsid w:val="006266C8"/>
    <w:rsid w:val="006354B7"/>
    <w:rsid w:val="006439C9"/>
    <w:rsid w:val="00652A18"/>
    <w:rsid w:val="00652D6D"/>
    <w:rsid w:val="00654539"/>
    <w:rsid w:val="0066552C"/>
    <w:rsid w:val="00673DC6"/>
    <w:rsid w:val="00683F78"/>
    <w:rsid w:val="006900FA"/>
    <w:rsid w:val="00692EFE"/>
    <w:rsid w:val="006A2969"/>
    <w:rsid w:val="006A2DA8"/>
    <w:rsid w:val="006A599D"/>
    <w:rsid w:val="006A7B0F"/>
    <w:rsid w:val="006B2806"/>
    <w:rsid w:val="006B5AA0"/>
    <w:rsid w:val="006B7054"/>
    <w:rsid w:val="006D0258"/>
    <w:rsid w:val="006D7265"/>
    <w:rsid w:val="006E0FAA"/>
    <w:rsid w:val="006E67C7"/>
    <w:rsid w:val="006E7337"/>
    <w:rsid w:val="006F1B6C"/>
    <w:rsid w:val="006F5858"/>
    <w:rsid w:val="006F6D45"/>
    <w:rsid w:val="0070581E"/>
    <w:rsid w:val="0070732E"/>
    <w:rsid w:val="00711974"/>
    <w:rsid w:val="00711D1F"/>
    <w:rsid w:val="00720632"/>
    <w:rsid w:val="00722F4A"/>
    <w:rsid w:val="00722F53"/>
    <w:rsid w:val="00725A3A"/>
    <w:rsid w:val="00725F54"/>
    <w:rsid w:val="00725FEF"/>
    <w:rsid w:val="007309D4"/>
    <w:rsid w:val="00735B0C"/>
    <w:rsid w:val="00736AF1"/>
    <w:rsid w:val="00737997"/>
    <w:rsid w:val="0074312F"/>
    <w:rsid w:val="00750D95"/>
    <w:rsid w:val="0075178E"/>
    <w:rsid w:val="0075210D"/>
    <w:rsid w:val="00766DD1"/>
    <w:rsid w:val="007738B7"/>
    <w:rsid w:val="00776F79"/>
    <w:rsid w:val="00777973"/>
    <w:rsid w:val="007936A7"/>
    <w:rsid w:val="007A3663"/>
    <w:rsid w:val="007C27A8"/>
    <w:rsid w:val="007C7170"/>
    <w:rsid w:val="007E06C1"/>
    <w:rsid w:val="007E5B61"/>
    <w:rsid w:val="007E64C8"/>
    <w:rsid w:val="007F0C44"/>
    <w:rsid w:val="007F472D"/>
    <w:rsid w:val="0080033A"/>
    <w:rsid w:val="00802CB7"/>
    <w:rsid w:val="00811A09"/>
    <w:rsid w:val="00816264"/>
    <w:rsid w:val="008167FE"/>
    <w:rsid w:val="00821EE8"/>
    <w:rsid w:val="00822D23"/>
    <w:rsid w:val="008230C5"/>
    <w:rsid w:val="00832954"/>
    <w:rsid w:val="00834196"/>
    <w:rsid w:val="00842CDE"/>
    <w:rsid w:val="00842F9B"/>
    <w:rsid w:val="00852D47"/>
    <w:rsid w:val="008562BF"/>
    <w:rsid w:val="00862E9B"/>
    <w:rsid w:val="00863CD3"/>
    <w:rsid w:val="00865F57"/>
    <w:rsid w:val="0086787E"/>
    <w:rsid w:val="00871059"/>
    <w:rsid w:val="00871D1D"/>
    <w:rsid w:val="00880E6B"/>
    <w:rsid w:val="008821E0"/>
    <w:rsid w:val="0088268A"/>
    <w:rsid w:val="008851F4"/>
    <w:rsid w:val="0089270D"/>
    <w:rsid w:val="0089433A"/>
    <w:rsid w:val="00894628"/>
    <w:rsid w:val="008A3AAF"/>
    <w:rsid w:val="008A61E0"/>
    <w:rsid w:val="008A6F7D"/>
    <w:rsid w:val="008B2D70"/>
    <w:rsid w:val="008B6C0D"/>
    <w:rsid w:val="008B7E2A"/>
    <w:rsid w:val="008B7E49"/>
    <w:rsid w:val="008C044E"/>
    <w:rsid w:val="008C5BEF"/>
    <w:rsid w:val="008C5F95"/>
    <w:rsid w:val="008D09AD"/>
    <w:rsid w:val="008D0B4E"/>
    <w:rsid w:val="008D54E9"/>
    <w:rsid w:val="008E57ED"/>
    <w:rsid w:val="008F0905"/>
    <w:rsid w:val="008F6C02"/>
    <w:rsid w:val="00907466"/>
    <w:rsid w:val="0091239A"/>
    <w:rsid w:val="00912E19"/>
    <w:rsid w:val="00915193"/>
    <w:rsid w:val="0092592F"/>
    <w:rsid w:val="009259BE"/>
    <w:rsid w:val="0093318B"/>
    <w:rsid w:val="00936501"/>
    <w:rsid w:val="009367AC"/>
    <w:rsid w:val="009410EC"/>
    <w:rsid w:val="00946C71"/>
    <w:rsid w:val="0095475F"/>
    <w:rsid w:val="00957D01"/>
    <w:rsid w:val="0096460B"/>
    <w:rsid w:val="00964DBD"/>
    <w:rsid w:val="009667E2"/>
    <w:rsid w:val="00973F43"/>
    <w:rsid w:val="0097431B"/>
    <w:rsid w:val="009805CA"/>
    <w:rsid w:val="009836CD"/>
    <w:rsid w:val="0098487F"/>
    <w:rsid w:val="00985C04"/>
    <w:rsid w:val="00987A3F"/>
    <w:rsid w:val="0099684D"/>
    <w:rsid w:val="009979BA"/>
    <w:rsid w:val="00997FD8"/>
    <w:rsid w:val="009A1D57"/>
    <w:rsid w:val="009A54CA"/>
    <w:rsid w:val="009B177C"/>
    <w:rsid w:val="009B32D2"/>
    <w:rsid w:val="009B5D28"/>
    <w:rsid w:val="009B67F7"/>
    <w:rsid w:val="009B77E5"/>
    <w:rsid w:val="009B7AF6"/>
    <w:rsid w:val="009C6666"/>
    <w:rsid w:val="009D177E"/>
    <w:rsid w:val="009E5828"/>
    <w:rsid w:val="009E5BDA"/>
    <w:rsid w:val="009F1151"/>
    <w:rsid w:val="009F6752"/>
    <w:rsid w:val="009F694A"/>
    <w:rsid w:val="00A01684"/>
    <w:rsid w:val="00A01E2A"/>
    <w:rsid w:val="00A05229"/>
    <w:rsid w:val="00A0583E"/>
    <w:rsid w:val="00A11E5F"/>
    <w:rsid w:val="00A13F86"/>
    <w:rsid w:val="00A14901"/>
    <w:rsid w:val="00A15F9B"/>
    <w:rsid w:val="00A173AA"/>
    <w:rsid w:val="00A21328"/>
    <w:rsid w:val="00A229EC"/>
    <w:rsid w:val="00A24C9C"/>
    <w:rsid w:val="00A25A49"/>
    <w:rsid w:val="00A37025"/>
    <w:rsid w:val="00A41B50"/>
    <w:rsid w:val="00A51668"/>
    <w:rsid w:val="00A552DD"/>
    <w:rsid w:val="00A562DA"/>
    <w:rsid w:val="00A57431"/>
    <w:rsid w:val="00A67D18"/>
    <w:rsid w:val="00A7430C"/>
    <w:rsid w:val="00A84B17"/>
    <w:rsid w:val="00A905E5"/>
    <w:rsid w:val="00A919BA"/>
    <w:rsid w:val="00AA2834"/>
    <w:rsid w:val="00AA2D9A"/>
    <w:rsid w:val="00AA3E35"/>
    <w:rsid w:val="00AB5281"/>
    <w:rsid w:val="00AD2DA9"/>
    <w:rsid w:val="00AD7E1A"/>
    <w:rsid w:val="00AE0E44"/>
    <w:rsid w:val="00AE3F31"/>
    <w:rsid w:val="00AF0599"/>
    <w:rsid w:val="00AF7E5A"/>
    <w:rsid w:val="00B13D77"/>
    <w:rsid w:val="00B163C2"/>
    <w:rsid w:val="00B17A2E"/>
    <w:rsid w:val="00B221F8"/>
    <w:rsid w:val="00B24E8C"/>
    <w:rsid w:val="00B259E4"/>
    <w:rsid w:val="00B30DFB"/>
    <w:rsid w:val="00B31B49"/>
    <w:rsid w:val="00B327AA"/>
    <w:rsid w:val="00B4011F"/>
    <w:rsid w:val="00B40628"/>
    <w:rsid w:val="00B4124D"/>
    <w:rsid w:val="00B42FB9"/>
    <w:rsid w:val="00B443E9"/>
    <w:rsid w:val="00B46197"/>
    <w:rsid w:val="00B473CB"/>
    <w:rsid w:val="00B5143E"/>
    <w:rsid w:val="00B5526B"/>
    <w:rsid w:val="00B61D20"/>
    <w:rsid w:val="00B67546"/>
    <w:rsid w:val="00B733F9"/>
    <w:rsid w:val="00B73A93"/>
    <w:rsid w:val="00B7654A"/>
    <w:rsid w:val="00B825FD"/>
    <w:rsid w:val="00B82C3E"/>
    <w:rsid w:val="00B84D1D"/>
    <w:rsid w:val="00B84DDA"/>
    <w:rsid w:val="00B87D20"/>
    <w:rsid w:val="00BA0354"/>
    <w:rsid w:val="00BA1AE7"/>
    <w:rsid w:val="00BB10B3"/>
    <w:rsid w:val="00BB2159"/>
    <w:rsid w:val="00BB3F3F"/>
    <w:rsid w:val="00BB4DA8"/>
    <w:rsid w:val="00BC0BB0"/>
    <w:rsid w:val="00BC54E2"/>
    <w:rsid w:val="00BD0BCC"/>
    <w:rsid w:val="00BD6D9B"/>
    <w:rsid w:val="00BE2E58"/>
    <w:rsid w:val="00BE3E9D"/>
    <w:rsid w:val="00BE4100"/>
    <w:rsid w:val="00BE42F5"/>
    <w:rsid w:val="00BE71FC"/>
    <w:rsid w:val="00C0480A"/>
    <w:rsid w:val="00C12956"/>
    <w:rsid w:val="00C21970"/>
    <w:rsid w:val="00C24BC8"/>
    <w:rsid w:val="00C254D4"/>
    <w:rsid w:val="00C2668F"/>
    <w:rsid w:val="00C26880"/>
    <w:rsid w:val="00C36380"/>
    <w:rsid w:val="00C4470B"/>
    <w:rsid w:val="00C45E18"/>
    <w:rsid w:val="00C6435E"/>
    <w:rsid w:val="00C713DB"/>
    <w:rsid w:val="00C74384"/>
    <w:rsid w:val="00C7489A"/>
    <w:rsid w:val="00C77360"/>
    <w:rsid w:val="00C80A16"/>
    <w:rsid w:val="00C8150F"/>
    <w:rsid w:val="00C846C1"/>
    <w:rsid w:val="00C96676"/>
    <w:rsid w:val="00CA3A17"/>
    <w:rsid w:val="00CB1930"/>
    <w:rsid w:val="00CB1A9E"/>
    <w:rsid w:val="00CB31B8"/>
    <w:rsid w:val="00CB4939"/>
    <w:rsid w:val="00CC0076"/>
    <w:rsid w:val="00CC152C"/>
    <w:rsid w:val="00CC4124"/>
    <w:rsid w:val="00CC650B"/>
    <w:rsid w:val="00CD11C9"/>
    <w:rsid w:val="00CD2B2D"/>
    <w:rsid w:val="00CD37CE"/>
    <w:rsid w:val="00CD3B23"/>
    <w:rsid w:val="00CD54D6"/>
    <w:rsid w:val="00CE28BD"/>
    <w:rsid w:val="00CE3E3D"/>
    <w:rsid w:val="00CE79CB"/>
    <w:rsid w:val="00CF431F"/>
    <w:rsid w:val="00CF6B2A"/>
    <w:rsid w:val="00D0270B"/>
    <w:rsid w:val="00D11738"/>
    <w:rsid w:val="00D153A2"/>
    <w:rsid w:val="00D328A0"/>
    <w:rsid w:val="00D36F01"/>
    <w:rsid w:val="00D45409"/>
    <w:rsid w:val="00D54BE7"/>
    <w:rsid w:val="00D604FE"/>
    <w:rsid w:val="00D70451"/>
    <w:rsid w:val="00D87FF8"/>
    <w:rsid w:val="00D904A6"/>
    <w:rsid w:val="00D93DFD"/>
    <w:rsid w:val="00D977C7"/>
    <w:rsid w:val="00DA45ED"/>
    <w:rsid w:val="00DB2106"/>
    <w:rsid w:val="00DB3931"/>
    <w:rsid w:val="00DC193B"/>
    <w:rsid w:val="00DC35AF"/>
    <w:rsid w:val="00DD2B44"/>
    <w:rsid w:val="00DD7876"/>
    <w:rsid w:val="00DE05DC"/>
    <w:rsid w:val="00DE1B4F"/>
    <w:rsid w:val="00DE5F32"/>
    <w:rsid w:val="00DF2166"/>
    <w:rsid w:val="00DF253E"/>
    <w:rsid w:val="00DF5D84"/>
    <w:rsid w:val="00DF5DC0"/>
    <w:rsid w:val="00E077F5"/>
    <w:rsid w:val="00E16321"/>
    <w:rsid w:val="00E20D1C"/>
    <w:rsid w:val="00E229C3"/>
    <w:rsid w:val="00E22B91"/>
    <w:rsid w:val="00E30FF7"/>
    <w:rsid w:val="00E343B7"/>
    <w:rsid w:val="00E34439"/>
    <w:rsid w:val="00E4199A"/>
    <w:rsid w:val="00E462AB"/>
    <w:rsid w:val="00E474E3"/>
    <w:rsid w:val="00E51D4C"/>
    <w:rsid w:val="00E65C03"/>
    <w:rsid w:val="00E72F6E"/>
    <w:rsid w:val="00E730D3"/>
    <w:rsid w:val="00E742D5"/>
    <w:rsid w:val="00E75EB6"/>
    <w:rsid w:val="00E90170"/>
    <w:rsid w:val="00EA363F"/>
    <w:rsid w:val="00EA6473"/>
    <w:rsid w:val="00EA656B"/>
    <w:rsid w:val="00EB01C3"/>
    <w:rsid w:val="00EB1807"/>
    <w:rsid w:val="00EB31AB"/>
    <w:rsid w:val="00EC037E"/>
    <w:rsid w:val="00EC346A"/>
    <w:rsid w:val="00ED5929"/>
    <w:rsid w:val="00EE1C74"/>
    <w:rsid w:val="00EE389C"/>
    <w:rsid w:val="00EE4AB3"/>
    <w:rsid w:val="00EE5B09"/>
    <w:rsid w:val="00EF3478"/>
    <w:rsid w:val="00EF3EE3"/>
    <w:rsid w:val="00F10371"/>
    <w:rsid w:val="00F157C7"/>
    <w:rsid w:val="00F1657A"/>
    <w:rsid w:val="00F206FD"/>
    <w:rsid w:val="00F23EBE"/>
    <w:rsid w:val="00F23FA1"/>
    <w:rsid w:val="00F25AA4"/>
    <w:rsid w:val="00F25F59"/>
    <w:rsid w:val="00F30CBB"/>
    <w:rsid w:val="00F372A4"/>
    <w:rsid w:val="00F41AD8"/>
    <w:rsid w:val="00F451BB"/>
    <w:rsid w:val="00F45CCA"/>
    <w:rsid w:val="00F50500"/>
    <w:rsid w:val="00F56504"/>
    <w:rsid w:val="00F566D9"/>
    <w:rsid w:val="00F57851"/>
    <w:rsid w:val="00F717B3"/>
    <w:rsid w:val="00F76094"/>
    <w:rsid w:val="00F779E8"/>
    <w:rsid w:val="00F807EF"/>
    <w:rsid w:val="00F82571"/>
    <w:rsid w:val="00FA0881"/>
    <w:rsid w:val="00FB4EE2"/>
    <w:rsid w:val="00FB77D1"/>
    <w:rsid w:val="00FC1EDF"/>
    <w:rsid w:val="00FD742A"/>
    <w:rsid w:val="00FE41B9"/>
    <w:rsid w:val="00FE5E7C"/>
    <w:rsid w:val="00FF39A0"/>
    <w:rsid w:val="00FF3EF4"/>
    <w:rsid w:val="00FF4F6A"/>
    <w:rsid w:val="00FF5C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7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B40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D9"/>
    <w:pPr>
      <w:ind w:left="720"/>
      <w:contextualSpacing/>
    </w:pPr>
  </w:style>
  <w:style w:type="paragraph" w:styleId="BodyText">
    <w:name w:val="Body Text"/>
    <w:basedOn w:val="Normal"/>
    <w:link w:val="BodyTextChar"/>
    <w:rsid w:val="000969A7"/>
    <w:pPr>
      <w:spacing w:after="0" w:line="240" w:lineRule="auto"/>
      <w:jc w:val="both"/>
    </w:pPr>
    <w:rPr>
      <w:rFonts w:ascii="Times New Roman" w:eastAsia="Times New Roman" w:hAnsi="Times New Roman"/>
      <w:kern w:val="16"/>
      <w:sz w:val="24"/>
      <w:szCs w:val="24"/>
    </w:rPr>
  </w:style>
  <w:style w:type="character" w:customStyle="1" w:styleId="BodyTextChar">
    <w:name w:val="Body Text Char"/>
    <w:basedOn w:val="DefaultParagraphFont"/>
    <w:link w:val="BodyText"/>
    <w:rsid w:val="000969A7"/>
    <w:rPr>
      <w:rFonts w:ascii="Times New Roman" w:eastAsia="Times New Roman" w:hAnsi="Times New Roman" w:cs="Times New Roman"/>
      <w:kern w:val="16"/>
      <w:sz w:val="24"/>
      <w:szCs w:val="24"/>
    </w:rPr>
  </w:style>
  <w:style w:type="paragraph" w:styleId="BalloonText">
    <w:name w:val="Balloon Text"/>
    <w:basedOn w:val="Normal"/>
    <w:link w:val="BalloonTextChar"/>
    <w:uiPriority w:val="99"/>
    <w:semiHidden/>
    <w:unhideWhenUsed/>
    <w:rsid w:val="0080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3A"/>
    <w:rPr>
      <w:rFonts w:ascii="Tahoma" w:hAnsi="Tahoma" w:cs="Tahoma"/>
      <w:sz w:val="16"/>
      <w:szCs w:val="16"/>
    </w:rPr>
  </w:style>
  <w:style w:type="paragraph" w:styleId="FootnoteText">
    <w:name w:val="footnote text"/>
    <w:basedOn w:val="Normal"/>
    <w:link w:val="FootnoteTextChar"/>
    <w:semiHidden/>
    <w:rsid w:val="005B561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B5616"/>
    <w:rPr>
      <w:rFonts w:ascii="Times New Roman" w:eastAsia="Times New Roman" w:hAnsi="Times New Roman" w:cs="Times New Roman"/>
      <w:sz w:val="20"/>
      <w:szCs w:val="20"/>
    </w:rPr>
  </w:style>
  <w:style w:type="character" w:styleId="FootnoteReference">
    <w:name w:val="footnote reference"/>
    <w:basedOn w:val="DefaultParagraphFont"/>
    <w:semiHidden/>
    <w:rsid w:val="005B5616"/>
    <w:rPr>
      <w:vertAlign w:val="superscript"/>
    </w:rPr>
  </w:style>
  <w:style w:type="character" w:customStyle="1" w:styleId="NoSpacingChar">
    <w:name w:val="No Spacing Char"/>
    <w:basedOn w:val="DefaultParagraphFont"/>
    <w:link w:val="NoSpacing"/>
    <w:uiPriority w:val="1"/>
    <w:locked/>
    <w:rsid w:val="002B45C8"/>
  </w:style>
  <w:style w:type="paragraph" w:styleId="NoSpacing">
    <w:name w:val="No Spacing"/>
    <w:basedOn w:val="Normal"/>
    <w:link w:val="NoSpacingChar"/>
    <w:uiPriority w:val="1"/>
    <w:qFormat/>
    <w:rsid w:val="002B45C8"/>
    <w:pPr>
      <w:spacing w:after="0" w:line="240" w:lineRule="auto"/>
    </w:pPr>
    <w:rPr>
      <w:sz w:val="20"/>
      <w:szCs w:val="20"/>
      <w:lang w:val="en-GB" w:eastAsia="en-GB"/>
    </w:rPr>
  </w:style>
  <w:style w:type="table" w:styleId="TableGrid">
    <w:name w:val="Table Grid"/>
    <w:basedOn w:val="TableNormal"/>
    <w:uiPriority w:val="59"/>
    <w:rsid w:val="00F25F59"/>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1B"/>
    <w:rPr>
      <w:sz w:val="22"/>
      <w:szCs w:val="22"/>
      <w:lang w:val="en-US" w:eastAsia="en-US"/>
    </w:rPr>
  </w:style>
  <w:style w:type="paragraph" w:styleId="Footer">
    <w:name w:val="footer"/>
    <w:basedOn w:val="Normal"/>
    <w:link w:val="FooterChar"/>
    <w:uiPriority w:val="99"/>
    <w:unhideWhenUsed/>
    <w:rsid w:val="002F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1B"/>
    <w:rPr>
      <w:sz w:val="22"/>
      <w:szCs w:val="22"/>
      <w:lang w:val="en-US" w:eastAsia="en-US"/>
    </w:rPr>
  </w:style>
  <w:style w:type="table" w:styleId="LightShading-Accent1">
    <w:name w:val="Light Shading Accent 1"/>
    <w:basedOn w:val="TableNormal"/>
    <w:uiPriority w:val="60"/>
    <w:rsid w:val="0073799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B67F7"/>
    <w:rPr>
      <w:color w:val="0000FF" w:themeColor="hyperlink"/>
      <w:u w:val="single"/>
    </w:rPr>
  </w:style>
  <w:style w:type="table" w:styleId="LightGrid-Accent1">
    <w:name w:val="Light Grid Accent 1"/>
    <w:basedOn w:val="TableNormal"/>
    <w:uiPriority w:val="62"/>
    <w:rsid w:val="00D1173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idebarBodyText">
    <w:name w:val="Sidebar Body Text"/>
    <w:basedOn w:val="Normal"/>
    <w:qFormat/>
    <w:rsid w:val="005B11D0"/>
    <w:pPr>
      <w:spacing w:line="384" w:lineRule="auto"/>
    </w:pPr>
    <w:rPr>
      <w:rFonts w:asciiTheme="minorHAnsi" w:eastAsiaTheme="minorHAnsi" w:hAnsiTheme="minorHAnsi" w:cstheme="minorBidi"/>
      <w:sz w:val="15"/>
    </w:rPr>
  </w:style>
  <w:style w:type="character" w:customStyle="1" w:styleId="Heading2Char">
    <w:name w:val="Heading 2 Char"/>
    <w:basedOn w:val="DefaultParagraphFont"/>
    <w:link w:val="Heading2"/>
    <w:uiPriority w:val="9"/>
    <w:rsid w:val="00B40628"/>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next w:val="Normal"/>
    <w:link w:val="TitleChar"/>
    <w:uiPriority w:val="10"/>
    <w:qFormat/>
    <w:rsid w:val="006B2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806"/>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7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B40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D9"/>
    <w:pPr>
      <w:ind w:left="720"/>
      <w:contextualSpacing/>
    </w:pPr>
  </w:style>
  <w:style w:type="paragraph" w:styleId="BodyText">
    <w:name w:val="Body Text"/>
    <w:basedOn w:val="Normal"/>
    <w:link w:val="BodyTextChar"/>
    <w:rsid w:val="000969A7"/>
    <w:pPr>
      <w:spacing w:after="0" w:line="240" w:lineRule="auto"/>
      <w:jc w:val="both"/>
    </w:pPr>
    <w:rPr>
      <w:rFonts w:ascii="Times New Roman" w:eastAsia="Times New Roman" w:hAnsi="Times New Roman"/>
      <w:kern w:val="16"/>
      <w:sz w:val="24"/>
      <w:szCs w:val="24"/>
    </w:rPr>
  </w:style>
  <w:style w:type="character" w:customStyle="1" w:styleId="BodyTextChar">
    <w:name w:val="Body Text Char"/>
    <w:basedOn w:val="DefaultParagraphFont"/>
    <w:link w:val="BodyText"/>
    <w:rsid w:val="000969A7"/>
    <w:rPr>
      <w:rFonts w:ascii="Times New Roman" w:eastAsia="Times New Roman" w:hAnsi="Times New Roman" w:cs="Times New Roman"/>
      <w:kern w:val="16"/>
      <w:sz w:val="24"/>
      <w:szCs w:val="24"/>
    </w:rPr>
  </w:style>
  <w:style w:type="paragraph" w:styleId="BalloonText">
    <w:name w:val="Balloon Text"/>
    <w:basedOn w:val="Normal"/>
    <w:link w:val="BalloonTextChar"/>
    <w:uiPriority w:val="99"/>
    <w:semiHidden/>
    <w:unhideWhenUsed/>
    <w:rsid w:val="0080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3A"/>
    <w:rPr>
      <w:rFonts w:ascii="Tahoma" w:hAnsi="Tahoma" w:cs="Tahoma"/>
      <w:sz w:val="16"/>
      <w:szCs w:val="16"/>
    </w:rPr>
  </w:style>
  <w:style w:type="paragraph" w:styleId="FootnoteText">
    <w:name w:val="footnote text"/>
    <w:basedOn w:val="Normal"/>
    <w:link w:val="FootnoteTextChar"/>
    <w:semiHidden/>
    <w:rsid w:val="005B561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B5616"/>
    <w:rPr>
      <w:rFonts w:ascii="Times New Roman" w:eastAsia="Times New Roman" w:hAnsi="Times New Roman" w:cs="Times New Roman"/>
      <w:sz w:val="20"/>
      <w:szCs w:val="20"/>
    </w:rPr>
  </w:style>
  <w:style w:type="character" w:styleId="FootnoteReference">
    <w:name w:val="footnote reference"/>
    <w:basedOn w:val="DefaultParagraphFont"/>
    <w:semiHidden/>
    <w:rsid w:val="005B5616"/>
    <w:rPr>
      <w:vertAlign w:val="superscript"/>
    </w:rPr>
  </w:style>
  <w:style w:type="character" w:customStyle="1" w:styleId="NoSpacingChar">
    <w:name w:val="No Spacing Char"/>
    <w:basedOn w:val="DefaultParagraphFont"/>
    <w:link w:val="NoSpacing"/>
    <w:uiPriority w:val="1"/>
    <w:locked/>
    <w:rsid w:val="002B45C8"/>
  </w:style>
  <w:style w:type="paragraph" w:styleId="NoSpacing">
    <w:name w:val="No Spacing"/>
    <w:basedOn w:val="Normal"/>
    <w:link w:val="NoSpacingChar"/>
    <w:uiPriority w:val="1"/>
    <w:qFormat/>
    <w:rsid w:val="002B45C8"/>
    <w:pPr>
      <w:spacing w:after="0" w:line="240" w:lineRule="auto"/>
    </w:pPr>
    <w:rPr>
      <w:sz w:val="20"/>
      <w:szCs w:val="20"/>
      <w:lang w:val="en-GB" w:eastAsia="en-GB"/>
    </w:rPr>
  </w:style>
  <w:style w:type="table" w:styleId="TableGrid">
    <w:name w:val="Table Grid"/>
    <w:basedOn w:val="TableNormal"/>
    <w:uiPriority w:val="59"/>
    <w:rsid w:val="00F25F59"/>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1B"/>
    <w:rPr>
      <w:sz w:val="22"/>
      <w:szCs w:val="22"/>
      <w:lang w:val="en-US" w:eastAsia="en-US"/>
    </w:rPr>
  </w:style>
  <w:style w:type="paragraph" w:styleId="Footer">
    <w:name w:val="footer"/>
    <w:basedOn w:val="Normal"/>
    <w:link w:val="FooterChar"/>
    <w:uiPriority w:val="99"/>
    <w:unhideWhenUsed/>
    <w:rsid w:val="002F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1B"/>
    <w:rPr>
      <w:sz w:val="22"/>
      <w:szCs w:val="22"/>
      <w:lang w:val="en-US" w:eastAsia="en-US"/>
    </w:rPr>
  </w:style>
  <w:style w:type="table" w:styleId="LightShading-Accent1">
    <w:name w:val="Light Shading Accent 1"/>
    <w:basedOn w:val="TableNormal"/>
    <w:uiPriority w:val="60"/>
    <w:rsid w:val="0073799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B67F7"/>
    <w:rPr>
      <w:color w:val="0000FF" w:themeColor="hyperlink"/>
      <w:u w:val="single"/>
    </w:rPr>
  </w:style>
  <w:style w:type="table" w:styleId="LightGrid-Accent1">
    <w:name w:val="Light Grid Accent 1"/>
    <w:basedOn w:val="TableNormal"/>
    <w:uiPriority w:val="62"/>
    <w:rsid w:val="00D1173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idebarBodyText">
    <w:name w:val="Sidebar Body Text"/>
    <w:basedOn w:val="Normal"/>
    <w:qFormat/>
    <w:rsid w:val="005B11D0"/>
    <w:pPr>
      <w:spacing w:line="384" w:lineRule="auto"/>
    </w:pPr>
    <w:rPr>
      <w:rFonts w:asciiTheme="minorHAnsi" w:eastAsiaTheme="minorHAnsi" w:hAnsiTheme="minorHAnsi" w:cstheme="minorBidi"/>
      <w:sz w:val="15"/>
    </w:rPr>
  </w:style>
  <w:style w:type="character" w:customStyle="1" w:styleId="Heading2Char">
    <w:name w:val="Heading 2 Char"/>
    <w:basedOn w:val="DefaultParagraphFont"/>
    <w:link w:val="Heading2"/>
    <w:uiPriority w:val="9"/>
    <w:rsid w:val="00B40628"/>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next w:val="Normal"/>
    <w:link w:val="TitleChar"/>
    <w:uiPriority w:val="10"/>
    <w:qFormat/>
    <w:rsid w:val="006B2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806"/>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7947">
      <w:bodyDiv w:val="1"/>
      <w:marLeft w:val="0"/>
      <w:marRight w:val="0"/>
      <w:marTop w:val="0"/>
      <w:marBottom w:val="0"/>
      <w:divBdr>
        <w:top w:val="none" w:sz="0" w:space="0" w:color="auto"/>
        <w:left w:val="none" w:sz="0" w:space="0" w:color="auto"/>
        <w:bottom w:val="none" w:sz="0" w:space="0" w:color="auto"/>
        <w:right w:val="none" w:sz="0" w:space="0" w:color="auto"/>
      </w:divBdr>
    </w:div>
    <w:div w:id="486485151">
      <w:bodyDiv w:val="1"/>
      <w:marLeft w:val="0"/>
      <w:marRight w:val="0"/>
      <w:marTop w:val="0"/>
      <w:marBottom w:val="0"/>
      <w:divBdr>
        <w:top w:val="none" w:sz="0" w:space="0" w:color="auto"/>
        <w:left w:val="none" w:sz="0" w:space="0" w:color="auto"/>
        <w:bottom w:val="none" w:sz="0" w:space="0" w:color="auto"/>
        <w:right w:val="none" w:sz="0" w:space="0" w:color="auto"/>
      </w:divBdr>
    </w:div>
    <w:div w:id="524487461">
      <w:bodyDiv w:val="1"/>
      <w:marLeft w:val="0"/>
      <w:marRight w:val="0"/>
      <w:marTop w:val="0"/>
      <w:marBottom w:val="0"/>
      <w:divBdr>
        <w:top w:val="none" w:sz="0" w:space="0" w:color="auto"/>
        <w:left w:val="none" w:sz="0" w:space="0" w:color="auto"/>
        <w:bottom w:val="none" w:sz="0" w:space="0" w:color="auto"/>
        <w:right w:val="none" w:sz="0" w:space="0" w:color="auto"/>
      </w:divBdr>
    </w:div>
    <w:div w:id="684864553">
      <w:bodyDiv w:val="1"/>
      <w:marLeft w:val="0"/>
      <w:marRight w:val="0"/>
      <w:marTop w:val="0"/>
      <w:marBottom w:val="0"/>
      <w:divBdr>
        <w:top w:val="none" w:sz="0" w:space="0" w:color="auto"/>
        <w:left w:val="none" w:sz="0" w:space="0" w:color="auto"/>
        <w:bottom w:val="none" w:sz="0" w:space="0" w:color="auto"/>
        <w:right w:val="none" w:sz="0" w:space="0" w:color="auto"/>
      </w:divBdr>
    </w:div>
    <w:div w:id="688871814">
      <w:bodyDiv w:val="1"/>
      <w:marLeft w:val="0"/>
      <w:marRight w:val="0"/>
      <w:marTop w:val="0"/>
      <w:marBottom w:val="0"/>
      <w:divBdr>
        <w:top w:val="none" w:sz="0" w:space="0" w:color="auto"/>
        <w:left w:val="none" w:sz="0" w:space="0" w:color="auto"/>
        <w:bottom w:val="none" w:sz="0" w:space="0" w:color="auto"/>
        <w:right w:val="none" w:sz="0" w:space="0" w:color="auto"/>
      </w:divBdr>
    </w:div>
    <w:div w:id="689530063">
      <w:bodyDiv w:val="1"/>
      <w:marLeft w:val="0"/>
      <w:marRight w:val="0"/>
      <w:marTop w:val="0"/>
      <w:marBottom w:val="0"/>
      <w:divBdr>
        <w:top w:val="none" w:sz="0" w:space="0" w:color="auto"/>
        <w:left w:val="none" w:sz="0" w:space="0" w:color="auto"/>
        <w:bottom w:val="none" w:sz="0" w:space="0" w:color="auto"/>
        <w:right w:val="none" w:sz="0" w:space="0" w:color="auto"/>
      </w:divBdr>
    </w:div>
    <w:div w:id="721245995">
      <w:bodyDiv w:val="1"/>
      <w:marLeft w:val="0"/>
      <w:marRight w:val="0"/>
      <w:marTop w:val="0"/>
      <w:marBottom w:val="0"/>
      <w:divBdr>
        <w:top w:val="none" w:sz="0" w:space="0" w:color="auto"/>
        <w:left w:val="none" w:sz="0" w:space="0" w:color="auto"/>
        <w:bottom w:val="none" w:sz="0" w:space="0" w:color="auto"/>
        <w:right w:val="none" w:sz="0" w:space="0" w:color="auto"/>
      </w:divBdr>
    </w:div>
    <w:div w:id="802234547">
      <w:bodyDiv w:val="1"/>
      <w:marLeft w:val="0"/>
      <w:marRight w:val="0"/>
      <w:marTop w:val="0"/>
      <w:marBottom w:val="0"/>
      <w:divBdr>
        <w:top w:val="none" w:sz="0" w:space="0" w:color="auto"/>
        <w:left w:val="none" w:sz="0" w:space="0" w:color="auto"/>
        <w:bottom w:val="none" w:sz="0" w:space="0" w:color="auto"/>
        <w:right w:val="none" w:sz="0" w:space="0" w:color="auto"/>
      </w:divBdr>
    </w:div>
    <w:div w:id="808523239">
      <w:bodyDiv w:val="1"/>
      <w:marLeft w:val="0"/>
      <w:marRight w:val="0"/>
      <w:marTop w:val="0"/>
      <w:marBottom w:val="0"/>
      <w:divBdr>
        <w:top w:val="none" w:sz="0" w:space="0" w:color="auto"/>
        <w:left w:val="none" w:sz="0" w:space="0" w:color="auto"/>
        <w:bottom w:val="none" w:sz="0" w:space="0" w:color="auto"/>
        <w:right w:val="none" w:sz="0" w:space="0" w:color="auto"/>
      </w:divBdr>
    </w:div>
    <w:div w:id="956179888">
      <w:bodyDiv w:val="1"/>
      <w:marLeft w:val="0"/>
      <w:marRight w:val="0"/>
      <w:marTop w:val="0"/>
      <w:marBottom w:val="0"/>
      <w:divBdr>
        <w:top w:val="none" w:sz="0" w:space="0" w:color="auto"/>
        <w:left w:val="none" w:sz="0" w:space="0" w:color="auto"/>
        <w:bottom w:val="none" w:sz="0" w:space="0" w:color="auto"/>
        <w:right w:val="none" w:sz="0" w:space="0" w:color="auto"/>
      </w:divBdr>
    </w:div>
    <w:div w:id="1198348800">
      <w:bodyDiv w:val="1"/>
      <w:marLeft w:val="0"/>
      <w:marRight w:val="0"/>
      <w:marTop w:val="0"/>
      <w:marBottom w:val="0"/>
      <w:divBdr>
        <w:top w:val="none" w:sz="0" w:space="0" w:color="auto"/>
        <w:left w:val="none" w:sz="0" w:space="0" w:color="auto"/>
        <w:bottom w:val="none" w:sz="0" w:space="0" w:color="auto"/>
        <w:right w:val="none" w:sz="0" w:space="0" w:color="auto"/>
      </w:divBdr>
    </w:div>
    <w:div w:id="1368991346">
      <w:bodyDiv w:val="1"/>
      <w:marLeft w:val="0"/>
      <w:marRight w:val="0"/>
      <w:marTop w:val="0"/>
      <w:marBottom w:val="0"/>
      <w:divBdr>
        <w:top w:val="none" w:sz="0" w:space="0" w:color="auto"/>
        <w:left w:val="none" w:sz="0" w:space="0" w:color="auto"/>
        <w:bottom w:val="none" w:sz="0" w:space="0" w:color="auto"/>
        <w:right w:val="none" w:sz="0" w:space="0" w:color="auto"/>
      </w:divBdr>
    </w:div>
    <w:div w:id="1880582728">
      <w:bodyDiv w:val="1"/>
      <w:marLeft w:val="0"/>
      <w:marRight w:val="0"/>
      <w:marTop w:val="0"/>
      <w:marBottom w:val="0"/>
      <w:divBdr>
        <w:top w:val="none" w:sz="0" w:space="0" w:color="auto"/>
        <w:left w:val="none" w:sz="0" w:space="0" w:color="auto"/>
        <w:bottom w:val="none" w:sz="0" w:space="0" w:color="auto"/>
        <w:right w:val="none" w:sz="0" w:space="0" w:color="auto"/>
      </w:divBdr>
    </w:div>
    <w:div w:id="1980458206">
      <w:bodyDiv w:val="1"/>
      <w:marLeft w:val="0"/>
      <w:marRight w:val="0"/>
      <w:marTop w:val="0"/>
      <w:marBottom w:val="0"/>
      <w:divBdr>
        <w:top w:val="none" w:sz="0" w:space="0" w:color="auto"/>
        <w:left w:val="none" w:sz="0" w:space="0" w:color="auto"/>
        <w:bottom w:val="none" w:sz="0" w:space="0" w:color="auto"/>
        <w:right w:val="none" w:sz="0" w:space="0" w:color="auto"/>
      </w:divBdr>
    </w:div>
    <w:div w:id="1988632148">
      <w:bodyDiv w:val="1"/>
      <w:marLeft w:val="0"/>
      <w:marRight w:val="0"/>
      <w:marTop w:val="0"/>
      <w:marBottom w:val="0"/>
      <w:divBdr>
        <w:top w:val="none" w:sz="0" w:space="0" w:color="auto"/>
        <w:left w:val="none" w:sz="0" w:space="0" w:color="auto"/>
        <w:bottom w:val="none" w:sz="0" w:space="0" w:color="auto"/>
        <w:right w:val="none" w:sz="0" w:space="0" w:color="auto"/>
      </w:divBdr>
    </w:div>
    <w:div w:id="2066373397">
      <w:bodyDiv w:val="1"/>
      <w:marLeft w:val="0"/>
      <w:marRight w:val="0"/>
      <w:marTop w:val="0"/>
      <w:marBottom w:val="0"/>
      <w:divBdr>
        <w:top w:val="none" w:sz="0" w:space="0" w:color="auto"/>
        <w:left w:val="none" w:sz="0" w:space="0" w:color="auto"/>
        <w:bottom w:val="none" w:sz="0" w:space="0" w:color="auto"/>
        <w:right w:val="none" w:sz="0" w:space="0" w:color="auto"/>
      </w:divBdr>
    </w:div>
    <w:div w:id="21142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NISH\Google%20Drive\Investment%20Holding%20Companies\Charts-Aug%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NISH\Google%20Drive\Investment%20Holding%20Companies\Charts-Aug%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NISH\Google%20Drive\Investment%20Holding%20Companies\Charts-Aug%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AAH Profit</a:t>
            </a:r>
            <a:r>
              <a:rPr lang="en-US" sz="1400" baseline="0"/>
              <a:t> Trajectory over </a:t>
            </a:r>
            <a:r>
              <a:rPr lang="en-US" sz="1400" b="1" i="0" u="none" strike="noStrike" baseline="0">
                <a:effectLst/>
              </a:rPr>
              <a:t>Last Five years </a:t>
            </a:r>
            <a:endParaRPr lang="en-US" sz="1400"/>
          </a:p>
        </c:rich>
      </c:tx>
      <c:layout>
        <c:manualLayout>
          <c:xMode val="edge"/>
          <c:yMode val="edge"/>
          <c:x val="0.22398221267577437"/>
          <c:y val="4.6296296296296294E-3"/>
        </c:manualLayout>
      </c:layout>
      <c:overlay val="1"/>
    </c:title>
    <c:autoTitleDeleted val="0"/>
    <c:plotArea>
      <c:layout>
        <c:manualLayout>
          <c:layoutTarget val="inner"/>
          <c:xMode val="edge"/>
          <c:yMode val="edge"/>
          <c:x val="8.5743210105232837E-2"/>
          <c:y val="8.8437591134441523E-2"/>
          <c:w val="0.89505958485391368"/>
          <c:h val="0.69774095946340042"/>
        </c:manualLayout>
      </c:layout>
      <c:barChart>
        <c:barDir val="col"/>
        <c:grouping val="clustered"/>
        <c:varyColors val="0"/>
        <c:ser>
          <c:idx val="0"/>
          <c:order val="0"/>
          <c:tx>
            <c:strRef>
              <c:f>Sheet7!$A$2</c:f>
              <c:strCache>
                <c:ptCount val="1"/>
                <c:pt idx="0">
                  <c:v>PAT Parent Company </c:v>
                </c:pt>
              </c:strCache>
            </c:strRef>
          </c:tx>
          <c:invertIfNegative val="0"/>
          <c:dLbls>
            <c:dLbl>
              <c:idx val="0"/>
              <c:layout>
                <c:manualLayout>
                  <c:x val="-6.9808018330376337E-3"/>
                  <c:y val="1.3888888888888888E-2"/>
                </c:manualLayout>
              </c:layout>
              <c:showLegendKey val="0"/>
              <c:showVal val="1"/>
              <c:showCatName val="0"/>
              <c:showSerName val="0"/>
              <c:showPercent val="0"/>
              <c:showBubbleSize val="0"/>
            </c:dLbl>
            <c:dLbl>
              <c:idx val="1"/>
              <c:layout>
                <c:manualLayout>
                  <c:x val="-8.7260022912970421E-3"/>
                  <c:y val="1.8518518518518517E-2"/>
                </c:manualLayout>
              </c:layout>
              <c:showLegendKey val="0"/>
              <c:showVal val="1"/>
              <c:showCatName val="0"/>
              <c:showSerName val="0"/>
              <c:showPercent val="0"/>
              <c:showBubbleSize val="0"/>
            </c:dLbl>
            <c:dLbl>
              <c:idx val="2"/>
              <c:layout>
                <c:manualLayout>
                  <c:x val="-1.047134016691537E-2"/>
                  <c:y val="1.3888888888888888E-2"/>
                </c:manualLayout>
              </c:layout>
              <c:showLegendKey val="0"/>
              <c:showVal val="1"/>
              <c:showCatName val="0"/>
              <c:showSerName val="0"/>
              <c:showPercent val="0"/>
              <c:showBubbleSize val="0"/>
            </c:dLbl>
            <c:dLbl>
              <c:idx val="3"/>
              <c:layout>
                <c:manualLayout>
                  <c:x val="-6.9808018330376337E-3"/>
                  <c:y val="1.3888888888888888E-2"/>
                </c:manualLayout>
              </c:layout>
              <c:showLegendKey val="0"/>
              <c:showVal val="1"/>
              <c:showCatName val="0"/>
              <c:showSerName val="0"/>
              <c:showPercent val="0"/>
              <c:showBubbleSize val="0"/>
            </c:dLbl>
            <c:dLbl>
              <c:idx val="4"/>
              <c:layout>
                <c:manualLayout>
                  <c:x val="-1.2216403207815859E-2"/>
                  <c:y val="1.3888888888888888E-2"/>
                </c:manualLayout>
              </c:layout>
              <c:showLegendKey val="0"/>
              <c:showVal val="1"/>
              <c:showCatName val="0"/>
              <c:showSerName val="0"/>
              <c:showPercent val="0"/>
              <c:showBubbleSize val="0"/>
            </c:dLbl>
            <c:dLbl>
              <c:idx val="5"/>
              <c:layout>
                <c:manualLayout>
                  <c:x val="-3.490538333877735E-3"/>
                  <c:y val="3.2407771945173518E-2"/>
                </c:manualLayout>
              </c:layout>
              <c:showLegendKey val="0"/>
              <c:showVal val="1"/>
              <c:showCatName val="0"/>
              <c:showSerName val="0"/>
              <c:showPercent val="0"/>
              <c:showBubbleSize val="0"/>
            </c:dLbl>
            <c:dLbl>
              <c:idx val="6"/>
              <c:layout>
                <c:manualLayout>
                  <c:x val="-6.9808018330376337E-3"/>
                  <c:y val="1.3888888888888888E-2"/>
                </c:manualLayout>
              </c:layout>
              <c:showLegendKey val="0"/>
              <c:showVal val="1"/>
              <c:showCatName val="0"/>
              <c:showSerName val="0"/>
              <c:showPercent val="0"/>
              <c:showBubbleSize val="0"/>
            </c:dLbl>
            <c:dLbl>
              <c:idx val="7"/>
              <c:layout>
                <c:manualLayout>
                  <c:x val="-5.1629075919105696E-3"/>
                  <c:y val="1.3888888888888888E-2"/>
                </c:manualLayout>
              </c:layout>
              <c:showLegendKey val="0"/>
              <c:showVal val="1"/>
              <c:showCatName val="0"/>
              <c:showSerName val="0"/>
              <c:showPercent val="0"/>
              <c:showBubbleSize val="0"/>
            </c:dLbl>
            <c:dLbl>
              <c:idx val="8"/>
              <c:layout>
                <c:manualLayout>
                  <c:x val="-1.0718416578250048E-2"/>
                  <c:y val="9.2592592592592587E-3"/>
                </c:manualLayout>
              </c:layout>
              <c:showLegendKey val="0"/>
              <c:showVal val="1"/>
              <c:showCatName val="0"/>
              <c:showSerName val="0"/>
              <c:showPercent val="0"/>
              <c:showBubbleSize val="0"/>
            </c:dLbl>
            <c:dLbl>
              <c:idx val="9"/>
              <c:layout>
                <c:manualLayout>
                  <c:x val="-6.9808018330376337E-3"/>
                  <c:y val="1.8518518518518517E-2"/>
                </c:manualLayout>
              </c:layout>
              <c:showLegendKey val="0"/>
              <c:showVal val="1"/>
              <c:showCatName val="0"/>
              <c:showSerName val="0"/>
              <c:showPercent val="0"/>
              <c:showBubbleSize val="0"/>
            </c:dLbl>
            <c:txPr>
              <a:bodyPr/>
              <a:lstStyle/>
              <a:p>
                <a:pPr>
                  <a:defRPr b="1">
                    <a:solidFill>
                      <a:schemeClr val="tx2"/>
                    </a:solidFill>
                  </a:defRPr>
                </a:pPr>
                <a:endParaRPr lang="en-US"/>
              </a:p>
            </c:txPr>
            <c:showLegendKey val="0"/>
            <c:showVal val="1"/>
            <c:showCatName val="0"/>
            <c:showSerName val="0"/>
            <c:showPercent val="0"/>
            <c:showBubbleSize val="0"/>
            <c:showLeaderLines val="0"/>
          </c:dLbls>
          <c:cat>
            <c:strRef>
              <c:f>Sheet7!$I$1:$N$1</c:f>
              <c:strCache>
                <c:ptCount val="5"/>
                <c:pt idx="0">
                  <c:v>FY2011-12</c:v>
                </c:pt>
                <c:pt idx="1">
                  <c:v>FY2012-13</c:v>
                </c:pt>
                <c:pt idx="2">
                  <c:v>FY2013-14</c:v>
                </c:pt>
                <c:pt idx="3">
                  <c:v>FY2014-15</c:v>
                </c:pt>
                <c:pt idx="4">
                  <c:v>FY2015-16</c:v>
                </c:pt>
              </c:strCache>
            </c:strRef>
          </c:cat>
          <c:val>
            <c:numRef>
              <c:f>Sheet7!$I$2:$N$2</c:f>
              <c:numCache>
                <c:formatCode>_ * #,##0_ ;_ * \-#,##0_ ;_ * "-"??_ ;_ @_ </c:formatCode>
                <c:ptCount val="5"/>
                <c:pt idx="0">
                  <c:v>741</c:v>
                </c:pt>
                <c:pt idx="1">
                  <c:v>429</c:v>
                </c:pt>
                <c:pt idx="2">
                  <c:v>1839</c:v>
                </c:pt>
                <c:pt idx="3">
                  <c:v>6066</c:v>
                </c:pt>
                <c:pt idx="4">
                  <c:v>3493</c:v>
                </c:pt>
              </c:numCache>
            </c:numRef>
          </c:val>
        </c:ser>
        <c:ser>
          <c:idx val="1"/>
          <c:order val="1"/>
          <c:tx>
            <c:strRef>
              <c:f>Sheet7!$A$3</c:f>
              <c:strCache>
                <c:ptCount val="1"/>
                <c:pt idx="0">
                  <c:v>Consolidated PAT attributable to Parent Co.</c:v>
                </c:pt>
              </c:strCache>
            </c:strRef>
          </c:tx>
          <c:spPr>
            <a:solidFill>
              <a:schemeClr val="accent3"/>
            </a:solidFill>
          </c:spPr>
          <c:invertIfNegative val="0"/>
          <c:dLbls>
            <c:dLbl>
              <c:idx val="0"/>
              <c:layout>
                <c:manualLayout>
                  <c:x val="6.9806644156787164E-3"/>
                  <c:y val="9.2592592592592587E-3"/>
                </c:manualLayout>
              </c:layout>
              <c:showLegendKey val="0"/>
              <c:showVal val="1"/>
              <c:showCatName val="0"/>
              <c:showSerName val="0"/>
              <c:showPercent val="0"/>
              <c:showBubbleSize val="0"/>
            </c:dLbl>
            <c:dLbl>
              <c:idx val="2"/>
              <c:layout>
                <c:manualLayout>
                  <c:x val="1.1111111111111112E-2"/>
                  <c:y val="4.6296296296296294E-3"/>
                </c:manualLayout>
              </c:layout>
              <c:showLegendKey val="0"/>
              <c:showVal val="1"/>
              <c:showCatName val="0"/>
              <c:showSerName val="0"/>
              <c:showPercent val="0"/>
              <c:showBubbleSize val="0"/>
            </c:dLbl>
            <c:dLbl>
              <c:idx val="5"/>
              <c:layout>
                <c:manualLayout>
                  <c:x val="1.0471202749556515E-2"/>
                  <c:y val="2.3148148148148234E-2"/>
                </c:manualLayout>
              </c:layout>
              <c:showLegendKey val="0"/>
              <c:showVal val="1"/>
              <c:showCatName val="0"/>
              <c:showSerName val="0"/>
              <c:showPercent val="0"/>
              <c:showBubbleSize val="0"/>
            </c:dLbl>
            <c:dLbl>
              <c:idx val="6"/>
              <c:layout>
                <c:manualLayout>
                  <c:x val="5.2356013747782253E-3"/>
                  <c:y val="1.3888888888888888E-2"/>
                </c:manualLayout>
              </c:layout>
              <c:showLegendKey val="0"/>
              <c:showVal val="1"/>
              <c:showCatName val="0"/>
              <c:showSerName val="0"/>
              <c:showPercent val="0"/>
              <c:showBubbleSize val="0"/>
            </c:dLbl>
            <c:dLbl>
              <c:idx val="7"/>
              <c:layout>
                <c:manualLayout>
                  <c:x val="-3.0977995220899091E-3"/>
                  <c:y val="1.8518518518518517E-2"/>
                </c:manualLayout>
              </c:layout>
              <c:showLegendKey val="0"/>
              <c:showVal val="1"/>
              <c:showCatName val="0"/>
              <c:showSerName val="0"/>
              <c:showPercent val="0"/>
              <c:showBubbleSize val="0"/>
            </c:dLbl>
            <c:dLbl>
              <c:idx val="8"/>
              <c:layout>
                <c:manualLayout>
                  <c:x val="1.0185067526415994E-16"/>
                  <c:y val="1.3888888888888846E-2"/>
                </c:manualLayout>
              </c:layout>
              <c:showLegendKey val="0"/>
              <c:showVal val="1"/>
              <c:showCatName val="0"/>
              <c:showSerName val="0"/>
              <c:showPercent val="0"/>
              <c:showBubbleSize val="0"/>
            </c:dLbl>
            <c:dLbl>
              <c:idx val="9"/>
              <c:layout>
                <c:manualLayout>
                  <c:x val="1.6666666666666666E-2"/>
                  <c:y val="2.3148148148148126E-2"/>
                </c:manualLayout>
              </c:layout>
              <c:showLegendKey val="0"/>
              <c:showVal val="1"/>
              <c:showCatName val="0"/>
              <c:showSerName val="0"/>
              <c:showPercent val="0"/>
              <c:showBubbleSize val="0"/>
            </c:dLbl>
            <c:txPr>
              <a:bodyPr/>
              <a:lstStyle/>
              <a:p>
                <a:pPr>
                  <a:defRPr b="1">
                    <a:solidFill>
                      <a:schemeClr val="accent3">
                        <a:lumMod val="50000"/>
                      </a:schemeClr>
                    </a:solidFill>
                  </a:defRPr>
                </a:pPr>
                <a:endParaRPr lang="en-US"/>
              </a:p>
            </c:txPr>
            <c:showLegendKey val="0"/>
            <c:showVal val="1"/>
            <c:showCatName val="0"/>
            <c:showSerName val="0"/>
            <c:showPercent val="0"/>
            <c:showBubbleSize val="0"/>
            <c:showLeaderLines val="0"/>
          </c:dLbls>
          <c:cat>
            <c:strRef>
              <c:f>Sheet7!$I$1:$N$1</c:f>
              <c:strCache>
                <c:ptCount val="5"/>
                <c:pt idx="0">
                  <c:v>FY2011-12</c:v>
                </c:pt>
                <c:pt idx="1">
                  <c:v>FY2012-13</c:v>
                </c:pt>
                <c:pt idx="2">
                  <c:v>FY2013-14</c:v>
                </c:pt>
                <c:pt idx="3">
                  <c:v>FY2014-15</c:v>
                </c:pt>
                <c:pt idx="4">
                  <c:v>FY2015-16</c:v>
                </c:pt>
              </c:strCache>
            </c:strRef>
          </c:cat>
          <c:val>
            <c:numRef>
              <c:f>Sheet7!$I$3:$N$3</c:f>
              <c:numCache>
                <c:formatCode>_ * #,##0_ ;_ * \-#,##0_ ;_ * "-"??_ ;_ @_ </c:formatCode>
                <c:ptCount val="5"/>
                <c:pt idx="0">
                  <c:v>511</c:v>
                </c:pt>
                <c:pt idx="1">
                  <c:v>1599</c:v>
                </c:pt>
                <c:pt idx="2">
                  <c:v>3051</c:v>
                </c:pt>
                <c:pt idx="3">
                  <c:v>4668</c:v>
                </c:pt>
                <c:pt idx="4">
                  <c:v>4936</c:v>
                </c:pt>
              </c:numCache>
            </c:numRef>
          </c:val>
        </c:ser>
        <c:dLbls>
          <c:showLegendKey val="0"/>
          <c:showVal val="0"/>
          <c:showCatName val="0"/>
          <c:showSerName val="0"/>
          <c:showPercent val="0"/>
          <c:showBubbleSize val="0"/>
        </c:dLbls>
        <c:gapWidth val="150"/>
        <c:axId val="82382208"/>
        <c:axId val="82404480"/>
      </c:barChart>
      <c:catAx>
        <c:axId val="82382208"/>
        <c:scaling>
          <c:orientation val="minMax"/>
        </c:scaling>
        <c:delete val="0"/>
        <c:axPos val="b"/>
        <c:majorTickMark val="out"/>
        <c:minorTickMark val="none"/>
        <c:tickLblPos val="nextTo"/>
        <c:txPr>
          <a:bodyPr/>
          <a:lstStyle/>
          <a:p>
            <a:pPr>
              <a:defRPr b="1"/>
            </a:pPr>
            <a:endParaRPr lang="en-US"/>
          </a:p>
        </c:txPr>
        <c:crossAx val="82404480"/>
        <c:crosses val="autoZero"/>
        <c:auto val="1"/>
        <c:lblAlgn val="ctr"/>
        <c:lblOffset val="100"/>
        <c:noMultiLvlLbl val="0"/>
      </c:catAx>
      <c:valAx>
        <c:axId val="82404480"/>
        <c:scaling>
          <c:orientation val="minMax"/>
          <c:max val="7000"/>
          <c:min val="0"/>
        </c:scaling>
        <c:delete val="0"/>
        <c:axPos val="l"/>
        <c:title>
          <c:tx>
            <c:rich>
              <a:bodyPr rot="0" vert="horz"/>
              <a:lstStyle/>
              <a:p>
                <a:pPr>
                  <a:defRPr/>
                </a:pPr>
                <a:r>
                  <a:rPr lang="en-US"/>
                  <a:t>RO'000</a:t>
                </a:r>
              </a:p>
            </c:rich>
          </c:tx>
          <c:layout>
            <c:manualLayout>
              <c:xMode val="edge"/>
              <c:yMode val="edge"/>
              <c:x val="3.4904009165188168E-3"/>
              <c:y val="1.6480752405949267E-3"/>
            </c:manualLayout>
          </c:layout>
          <c:overlay val="0"/>
        </c:title>
        <c:numFmt formatCode="_ * #,##0_ ;_ * \-#,##0_ ;_ * &quot;-&quot;??_ ;_ @_ " sourceLinked="1"/>
        <c:majorTickMark val="out"/>
        <c:minorTickMark val="none"/>
        <c:tickLblPos val="nextTo"/>
        <c:txPr>
          <a:bodyPr/>
          <a:lstStyle/>
          <a:p>
            <a:pPr>
              <a:defRPr sz="1050"/>
            </a:pPr>
            <a:endParaRPr lang="en-US"/>
          </a:p>
        </c:txPr>
        <c:crossAx val="82382208"/>
        <c:crosses val="autoZero"/>
        <c:crossBetween val="between"/>
      </c:valAx>
    </c:plotArea>
    <c:legend>
      <c:legendPos val="b"/>
      <c:layout>
        <c:manualLayout>
          <c:xMode val="edge"/>
          <c:yMode val="edge"/>
          <c:x val="0.13097573493421114"/>
          <c:y val="0.88289041994750661"/>
          <c:w val="0.78635592413188493"/>
          <c:h val="8.9331802274715655E-2"/>
        </c:manualLayout>
      </c:layout>
      <c:overlay val="0"/>
      <c:txPr>
        <a:bodyPr/>
        <a:lstStyle/>
        <a:p>
          <a:pPr>
            <a:defRPr sz="1000"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300" b="1"/>
            </a:pPr>
            <a:r>
              <a:rPr lang="en-US" sz="1300" b="1"/>
              <a:t>AAH - Key Performane</a:t>
            </a:r>
            <a:r>
              <a:rPr lang="en-US" sz="1300" b="1" baseline="0"/>
              <a:t> Indicators</a:t>
            </a:r>
            <a:endParaRPr lang="en-US" sz="1300" b="1"/>
          </a:p>
        </c:rich>
      </c:tx>
      <c:layout>
        <c:manualLayout>
          <c:xMode val="edge"/>
          <c:yMode val="edge"/>
          <c:x val="0.27013471483603818"/>
          <c:y val="1.7397614160015982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503018372703417"/>
          <c:y val="4.683505563939544E-2"/>
          <c:w val="0.8388587051618549"/>
          <c:h val="0.70159277981544887"/>
        </c:manualLayout>
      </c:layout>
      <c:bar3DChart>
        <c:barDir val="col"/>
        <c:grouping val="clustered"/>
        <c:varyColors val="0"/>
        <c:ser>
          <c:idx val="0"/>
          <c:order val="0"/>
          <c:tx>
            <c:strRef>
              <c:f>Sheet3!$Z$16</c:f>
              <c:strCache>
                <c:ptCount val="1"/>
                <c:pt idx="0">
                  <c:v>FY2013-14</c:v>
                </c:pt>
              </c:strCache>
            </c:strRef>
          </c:tx>
          <c:invertIfNegative val="0"/>
          <c:dLbls>
            <c:dLbl>
              <c:idx val="0"/>
              <c:layout>
                <c:manualLayout>
                  <c:x val="7.644437115517628E-3"/>
                  <c:y val="-4.6216051671729205E-3"/>
                </c:manualLayout>
              </c:layout>
              <c:showLegendKey val="0"/>
              <c:showVal val="1"/>
              <c:showCatName val="0"/>
              <c:showSerName val="0"/>
              <c:showPercent val="0"/>
              <c:showBubbleSize val="0"/>
            </c:dLbl>
            <c:dLbl>
              <c:idx val="1"/>
              <c:layout>
                <c:manualLayout>
                  <c:x val="-1.7241379310344827E-2"/>
                  <c:y val="4.6216051671729205E-3"/>
                </c:manualLayout>
              </c:layout>
              <c:showLegendKey val="0"/>
              <c:showVal val="1"/>
              <c:showCatName val="0"/>
              <c:showSerName val="0"/>
              <c:showPercent val="0"/>
              <c:showBubbleSize val="0"/>
            </c:dLbl>
            <c:dLbl>
              <c:idx val="2"/>
              <c:layout>
                <c:manualLayout>
                  <c:x val="-1.7241379310344827E-2"/>
                  <c:y val="0"/>
                </c:manualLayout>
              </c:layout>
              <c:showLegendKey val="0"/>
              <c:showVal val="1"/>
              <c:showCatName val="0"/>
              <c:showSerName val="0"/>
              <c:showPercent val="0"/>
              <c:showBubbleSize val="0"/>
            </c:dLbl>
            <c:dLbl>
              <c:idx val="3"/>
              <c:layout>
                <c:manualLayout>
                  <c:x val="-2.0942408376963352E-2"/>
                  <c:y val="9.2432103343458409E-3"/>
                </c:manualLayout>
              </c:layout>
              <c:showLegendKey val="0"/>
              <c:showVal val="1"/>
              <c:showCatName val="0"/>
              <c:showSerName val="0"/>
              <c:showPercent val="0"/>
              <c:showBubbleSize val="0"/>
            </c:dLbl>
            <c:txPr>
              <a:bodyPr/>
              <a:lstStyle/>
              <a:p>
                <a:pPr>
                  <a:defRPr lang="en-US" b="1"/>
                </a:pPr>
                <a:endParaRPr lang="en-US"/>
              </a:p>
            </c:txPr>
            <c:showLegendKey val="0"/>
            <c:showVal val="1"/>
            <c:showCatName val="0"/>
            <c:showSerName val="0"/>
            <c:showPercent val="0"/>
            <c:showBubbleSize val="0"/>
            <c:showLeaderLines val="0"/>
          </c:dLbls>
          <c:cat>
            <c:strRef>
              <c:f>Sheet3!$W$17:$W$20</c:f>
              <c:strCache>
                <c:ptCount val="4"/>
                <c:pt idx="0">
                  <c:v>Share of Profit of Associates</c:v>
                </c:pt>
                <c:pt idx="1">
                  <c:v>Parent Company Dividend Income</c:v>
                </c:pt>
                <c:pt idx="2">
                  <c:v>Fair Value Change in Invetments</c:v>
                </c:pt>
                <c:pt idx="3">
                  <c:v>Cons. PAT-Attr. To Parent Co.</c:v>
                </c:pt>
              </c:strCache>
            </c:strRef>
          </c:cat>
          <c:val>
            <c:numRef>
              <c:f>Sheet3!$Z$17:$Z$20</c:f>
              <c:numCache>
                <c:formatCode>_(* #,##0_);_(* \(#,##0\);_(* "-"??_);_(@_)</c:formatCode>
                <c:ptCount val="4"/>
                <c:pt idx="0">
                  <c:v>2778</c:v>
                </c:pt>
                <c:pt idx="1">
                  <c:v>1791</c:v>
                </c:pt>
                <c:pt idx="2">
                  <c:v>127</c:v>
                </c:pt>
                <c:pt idx="3">
                  <c:v>3051</c:v>
                </c:pt>
              </c:numCache>
            </c:numRef>
          </c:val>
        </c:ser>
        <c:ser>
          <c:idx val="1"/>
          <c:order val="1"/>
          <c:tx>
            <c:strRef>
              <c:f>Sheet3!$AA$16</c:f>
              <c:strCache>
                <c:ptCount val="1"/>
                <c:pt idx="0">
                  <c:v>FY2014-15</c:v>
                </c:pt>
              </c:strCache>
            </c:strRef>
          </c:tx>
          <c:invertIfNegative val="0"/>
          <c:dLbls>
            <c:dLbl>
              <c:idx val="0"/>
              <c:layout>
                <c:manualLayout>
                  <c:x val="2.1827559513176036E-2"/>
                  <c:y val="-9.2435742402645158E-3"/>
                </c:manualLayout>
              </c:layout>
              <c:showLegendKey val="0"/>
              <c:showVal val="1"/>
              <c:showCatName val="0"/>
              <c:showSerName val="0"/>
              <c:showPercent val="0"/>
              <c:showBubbleSize val="0"/>
            </c:dLbl>
            <c:dLbl>
              <c:idx val="1"/>
              <c:layout>
                <c:manualLayout>
                  <c:x val="3.0652095212236399E-3"/>
                  <c:y val="-1.3865179407437436E-2"/>
                </c:manualLayout>
              </c:layout>
              <c:showLegendKey val="0"/>
              <c:showVal val="1"/>
              <c:showCatName val="0"/>
              <c:showSerName val="0"/>
              <c:showPercent val="0"/>
              <c:showBubbleSize val="0"/>
            </c:dLbl>
            <c:dLbl>
              <c:idx val="2"/>
              <c:layout>
                <c:manualLayout>
                  <c:x val="-1.9827586206896553E-2"/>
                  <c:y val="0"/>
                </c:manualLayout>
              </c:layout>
              <c:showLegendKey val="0"/>
              <c:showVal val="1"/>
              <c:showCatName val="0"/>
              <c:showSerName val="0"/>
              <c:showPercent val="0"/>
              <c:showBubbleSize val="0"/>
            </c:dLbl>
            <c:dLbl>
              <c:idx val="3"/>
              <c:layout>
                <c:manualLayout>
                  <c:x val="-1.1634671320535195E-2"/>
                  <c:y val="9.2432103343458409E-3"/>
                </c:manualLayout>
              </c:layout>
              <c:showLegendKey val="0"/>
              <c:showVal val="1"/>
              <c:showCatName val="0"/>
              <c:showSerName val="0"/>
              <c:showPercent val="0"/>
              <c:showBubbleSize val="0"/>
            </c:dLbl>
            <c:txPr>
              <a:bodyPr/>
              <a:lstStyle/>
              <a:p>
                <a:pPr>
                  <a:defRPr lang="en-US" b="1"/>
                </a:pPr>
                <a:endParaRPr lang="en-US"/>
              </a:p>
            </c:txPr>
            <c:showLegendKey val="0"/>
            <c:showVal val="1"/>
            <c:showCatName val="0"/>
            <c:showSerName val="0"/>
            <c:showPercent val="0"/>
            <c:showBubbleSize val="0"/>
            <c:showLeaderLines val="0"/>
          </c:dLbls>
          <c:cat>
            <c:strRef>
              <c:f>Sheet3!$W$17:$W$20</c:f>
              <c:strCache>
                <c:ptCount val="4"/>
                <c:pt idx="0">
                  <c:v>Share of Profit of Associates</c:v>
                </c:pt>
                <c:pt idx="1">
                  <c:v>Parent Company Dividend Income</c:v>
                </c:pt>
                <c:pt idx="2">
                  <c:v>Fair Value Change in Invetments</c:v>
                </c:pt>
                <c:pt idx="3">
                  <c:v>Cons. PAT-Attr. To Parent Co.</c:v>
                </c:pt>
              </c:strCache>
            </c:strRef>
          </c:cat>
          <c:val>
            <c:numRef>
              <c:f>Sheet3!$AA$17:$AA$20</c:f>
              <c:numCache>
                <c:formatCode>_(* #,##0_);_(* \(#,##0\);_(* "-"??_);_(@_)</c:formatCode>
                <c:ptCount val="4"/>
                <c:pt idx="0">
                  <c:v>1985</c:v>
                </c:pt>
                <c:pt idx="1">
                  <c:v>1309</c:v>
                </c:pt>
                <c:pt idx="2">
                  <c:v>662</c:v>
                </c:pt>
                <c:pt idx="3">
                  <c:v>4668</c:v>
                </c:pt>
              </c:numCache>
            </c:numRef>
          </c:val>
        </c:ser>
        <c:ser>
          <c:idx val="2"/>
          <c:order val="2"/>
          <c:tx>
            <c:strRef>
              <c:f>Sheet3!$AB$16</c:f>
              <c:strCache>
                <c:ptCount val="1"/>
                <c:pt idx="0">
                  <c:v>FY 2015-16</c:v>
                </c:pt>
              </c:strCache>
            </c:strRef>
          </c:tx>
          <c:invertIfNegative val="0"/>
          <c:dLbls>
            <c:dLbl>
              <c:idx val="0"/>
              <c:layout>
                <c:manualLayout>
                  <c:x val="3.1034482758620689E-2"/>
                  <c:y val="4.2364224637280348E-17"/>
                </c:manualLayout>
              </c:layout>
              <c:showLegendKey val="0"/>
              <c:showVal val="1"/>
              <c:showCatName val="0"/>
              <c:showSerName val="0"/>
              <c:showPercent val="0"/>
              <c:showBubbleSize val="0"/>
            </c:dLbl>
            <c:dLbl>
              <c:idx val="1"/>
              <c:layout>
                <c:manualLayout>
                  <c:x val="3.6973255498235137E-2"/>
                  <c:y val="4.6055933067512189E-3"/>
                </c:manualLayout>
              </c:layout>
              <c:showLegendKey val="0"/>
              <c:showVal val="1"/>
              <c:showCatName val="0"/>
              <c:showSerName val="0"/>
              <c:showPercent val="0"/>
              <c:showBubbleSize val="0"/>
            </c:dLbl>
            <c:dLbl>
              <c:idx val="2"/>
              <c:layout>
                <c:manualLayout>
                  <c:x val="1.6666666666666771E-2"/>
                  <c:y val="0"/>
                </c:manualLayout>
              </c:layout>
              <c:showLegendKey val="0"/>
              <c:showVal val="1"/>
              <c:showCatName val="0"/>
              <c:showSerName val="0"/>
              <c:showPercent val="0"/>
              <c:showBubbleSize val="0"/>
            </c:dLbl>
            <c:dLbl>
              <c:idx val="3"/>
              <c:layout>
                <c:manualLayout>
                  <c:x val="2.7923211169284468E-2"/>
                  <c:y val="-4.6216051671729196E-3"/>
                </c:manualLayout>
              </c:layout>
              <c:showLegendKey val="0"/>
              <c:showVal val="1"/>
              <c:showCatName val="0"/>
              <c:showSerName val="0"/>
              <c:showPercent val="0"/>
              <c:showBubbleSize val="0"/>
            </c:dLbl>
            <c:txPr>
              <a:bodyPr/>
              <a:lstStyle/>
              <a:p>
                <a:pPr>
                  <a:defRPr lang="en-US" b="1"/>
                </a:pPr>
                <a:endParaRPr lang="en-US"/>
              </a:p>
            </c:txPr>
            <c:showLegendKey val="0"/>
            <c:showVal val="1"/>
            <c:showCatName val="0"/>
            <c:showSerName val="0"/>
            <c:showPercent val="0"/>
            <c:showBubbleSize val="0"/>
            <c:showLeaderLines val="0"/>
          </c:dLbls>
          <c:cat>
            <c:strRef>
              <c:f>Sheet3!$W$17:$W$20</c:f>
              <c:strCache>
                <c:ptCount val="4"/>
                <c:pt idx="0">
                  <c:v>Share of Profit of Associates</c:v>
                </c:pt>
                <c:pt idx="1">
                  <c:v>Parent Company Dividend Income</c:v>
                </c:pt>
                <c:pt idx="2">
                  <c:v>Fair Value Change in Invetments</c:v>
                </c:pt>
                <c:pt idx="3">
                  <c:v>Cons. PAT-Attr. To Parent Co.</c:v>
                </c:pt>
              </c:strCache>
            </c:strRef>
          </c:cat>
          <c:val>
            <c:numRef>
              <c:f>Sheet3!$AB$17:$AB$20</c:f>
              <c:numCache>
                <c:formatCode>_(* #,##0_);_(* \(#,##0\);_(* "-"??_);_(@_)</c:formatCode>
                <c:ptCount val="4"/>
                <c:pt idx="0">
                  <c:v>1337</c:v>
                </c:pt>
                <c:pt idx="1">
                  <c:v>1698</c:v>
                </c:pt>
                <c:pt idx="2">
                  <c:v>2435</c:v>
                </c:pt>
                <c:pt idx="3">
                  <c:v>4935</c:v>
                </c:pt>
              </c:numCache>
            </c:numRef>
          </c:val>
        </c:ser>
        <c:dLbls>
          <c:showLegendKey val="0"/>
          <c:showVal val="0"/>
          <c:showCatName val="0"/>
          <c:showSerName val="0"/>
          <c:showPercent val="0"/>
          <c:showBubbleSize val="0"/>
        </c:dLbls>
        <c:gapWidth val="299"/>
        <c:gapDepth val="196"/>
        <c:shape val="box"/>
        <c:axId val="82457344"/>
        <c:axId val="82458880"/>
        <c:axId val="0"/>
      </c:bar3DChart>
      <c:catAx>
        <c:axId val="82457344"/>
        <c:scaling>
          <c:orientation val="minMax"/>
        </c:scaling>
        <c:delete val="0"/>
        <c:axPos val="b"/>
        <c:majorTickMark val="out"/>
        <c:minorTickMark val="none"/>
        <c:tickLblPos val="nextTo"/>
        <c:txPr>
          <a:bodyPr/>
          <a:lstStyle/>
          <a:p>
            <a:pPr>
              <a:defRPr lang="en-US" sz="900" b="1"/>
            </a:pPr>
            <a:endParaRPr lang="en-US"/>
          </a:p>
        </c:txPr>
        <c:crossAx val="82458880"/>
        <c:crosses val="autoZero"/>
        <c:auto val="1"/>
        <c:lblAlgn val="ctr"/>
        <c:lblOffset val="100"/>
        <c:noMultiLvlLbl val="0"/>
      </c:catAx>
      <c:valAx>
        <c:axId val="82458880"/>
        <c:scaling>
          <c:orientation val="minMax"/>
          <c:max val="3500"/>
        </c:scaling>
        <c:delete val="0"/>
        <c:axPos val="l"/>
        <c:majorGridlines>
          <c:spPr>
            <a:ln>
              <a:noFill/>
            </a:ln>
          </c:spPr>
        </c:majorGridlines>
        <c:title>
          <c:tx>
            <c:rich>
              <a:bodyPr rot="0" vert="horz"/>
              <a:lstStyle/>
              <a:p>
                <a:pPr>
                  <a:defRPr lang="en-US"/>
                </a:pPr>
                <a:r>
                  <a:rPr lang="en-US"/>
                  <a:t>RO'000</a:t>
                </a:r>
              </a:p>
            </c:rich>
          </c:tx>
          <c:layout>
            <c:manualLayout>
              <c:xMode val="edge"/>
              <c:yMode val="edge"/>
              <c:x val="6.4587083682602506E-2"/>
              <c:y val="1.0972855165808275E-2"/>
            </c:manualLayout>
          </c:layout>
          <c:overlay val="0"/>
        </c:title>
        <c:numFmt formatCode="_(* #,##0_);_(* \(#,##0\);_(* &quot;-&quot;??_);_(@_)" sourceLinked="1"/>
        <c:majorTickMark val="out"/>
        <c:minorTickMark val="none"/>
        <c:tickLblPos val="nextTo"/>
        <c:txPr>
          <a:bodyPr/>
          <a:lstStyle/>
          <a:p>
            <a:pPr>
              <a:defRPr lang="en-US"/>
            </a:pPr>
            <a:endParaRPr lang="en-US"/>
          </a:p>
        </c:txPr>
        <c:crossAx val="82457344"/>
        <c:crosses val="autoZero"/>
        <c:crossBetween val="between"/>
        <c:majorUnit val="500"/>
      </c:valAx>
    </c:plotArea>
    <c:legend>
      <c:legendPos val="b"/>
      <c:layout>
        <c:manualLayout>
          <c:xMode val="edge"/>
          <c:yMode val="edge"/>
          <c:x val="0.26264070394342071"/>
          <c:y val="0.88869828305548515"/>
          <c:w val="0.46075680330534602"/>
          <c:h val="9.7436901442996146E-2"/>
        </c:manualLayout>
      </c:layout>
      <c:overlay val="0"/>
      <c:txPr>
        <a:bodyPr/>
        <a:lstStyle/>
        <a:p>
          <a:pPr>
            <a:defRPr lang="en-US"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9318355000346369E-2"/>
          <c:y val="0.18328824077977354"/>
          <c:w val="0.85401501282927872"/>
          <c:h val="0.81490054013447089"/>
        </c:manualLayout>
      </c:layout>
      <c:pie3DChart>
        <c:varyColors val="1"/>
        <c:ser>
          <c:idx val="0"/>
          <c:order val="0"/>
          <c:dLbls>
            <c:dLbl>
              <c:idx val="0"/>
              <c:layout>
                <c:manualLayout>
                  <c:x val="-0.22598678177276033"/>
                  <c:y val="-0.29326836291801228"/>
                </c:manualLayout>
              </c:layout>
              <c:showLegendKey val="0"/>
              <c:showVal val="1"/>
              <c:showCatName val="1"/>
              <c:showSerName val="0"/>
              <c:showPercent val="0"/>
              <c:showBubbleSize val="0"/>
              <c:separator> </c:separator>
            </c:dLbl>
            <c:dLbl>
              <c:idx val="1"/>
              <c:layout>
                <c:manualLayout>
                  <c:x val="2.8118337059719382E-3"/>
                  <c:y val="-5.0286544385588772E-2"/>
                </c:manualLayout>
              </c:layout>
              <c:showLegendKey val="0"/>
              <c:showVal val="1"/>
              <c:showCatName val="1"/>
              <c:showSerName val="0"/>
              <c:showPercent val="0"/>
              <c:showBubbleSize val="0"/>
              <c:separator> </c:separator>
            </c:dLbl>
            <c:dLbl>
              <c:idx val="2"/>
              <c:layout>
                <c:manualLayout>
                  <c:x val="1.6464809368708431E-4"/>
                  <c:y val="-1.3703993945045827E-2"/>
                </c:manualLayout>
              </c:layout>
              <c:showLegendKey val="0"/>
              <c:showVal val="1"/>
              <c:showCatName val="1"/>
              <c:showSerName val="0"/>
              <c:showPercent val="0"/>
              <c:showBubbleSize val="0"/>
              <c:separator> </c:separator>
            </c:dLbl>
            <c:dLbl>
              <c:idx val="3"/>
              <c:layout>
                <c:manualLayout>
                  <c:x val="0.16244927215423374"/>
                  <c:y val="1.4390693454018184E-2"/>
                </c:manualLayout>
              </c:layout>
              <c:showLegendKey val="0"/>
              <c:showVal val="1"/>
              <c:showCatName val="1"/>
              <c:showSerName val="0"/>
              <c:showPercent val="0"/>
              <c:showBubbleSize val="0"/>
              <c:separator> </c:separator>
            </c:dLbl>
            <c:dLbl>
              <c:idx val="4"/>
              <c:delete val="1"/>
            </c:dLbl>
            <c:txPr>
              <a:bodyPr/>
              <a:lstStyle/>
              <a:p>
                <a:pPr>
                  <a:defRPr b="1"/>
                </a:pPr>
                <a:endParaRPr lang="en-US"/>
              </a:p>
            </c:txPr>
            <c:showLegendKey val="0"/>
            <c:showVal val="1"/>
            <c:showCatName val="1"/>
            <c:showSerName val="0"/>
            <c:showPercent val="0"/>
            <c:showBubbleSize val="0"/>
            <c:separator> </c:separator>
            <c:showLeaderLines val="1"/>
          </c:dLbls>
          <c:cat>
            <c:strRef>
              <c:f>Sheet5!$A$100:$A$104</c:f>
              <c:strCache>
                <c:ptCount val="5"/>
                <c:pt idx="0">
                  <c:v>Financial Services Sector</c:v>
                </c:pt>
                <c:pt idx="1">
                  <c:v>Industrial Sector</c:v>
                </c:pt>
                <c:pt idx="2">
                  <c:v>Insurance Sector</c:v>
                </c:pt>
                <c:pt idx="3">
                  <c:v>Services Sector</c:v>
                </c:pt>
                <c:pt idx="4">
                  <c:v>Cash &amp; Bank Deposits</c:v>
                </c:pt>
              </c:strCache>
            </c:strRef>
          </c:cat>
          <c:val>
            <c:numRef>
              <c:f>Sheet5!$E$100:$E$104</c:f>
              <c:numCache>
                <c:formatCode>0.0%</c:formatCode>
                <c:ptCount val="5"/>
                <c:pt idx="0">
                  <c:v>0.69235436893203883</c:v>
                </c:pt>
                <c:pt idx="1">
                  <c:v>0.16203984627831716</c:v>
                </c:pt>
                <c:pt idx="2">
                  <c:v>0.12912115695792881</c:v>
                </c:pt>
                <c:pt idx="3">
                  <c:v>1.3475930420711974E-2</c:v>
                </c:pt>
                <c:pt idx="4">
                  <c:v>3.0086974110032361E-3</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52FA-573A-4CF5-B183-D47A99EF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Al Anwar Holdings SAOG</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Kumar Gupta</dc:creator>
  <cp:lastModifiedBy>AAH</cp:lastModifiedBy>
  <cp:revision>6</cp:revision>
  <cp:lastPrinted>2015-05-07T10:21:00Z</cp:lastPrinted>
  <dcterms:created xsi:type="dcterms:W3CDTF">2016-05-17T12:25:00Z</dcterms:created>
  <dcterms:modified xsi:type="dcterms:W3CDTF">2016-05-18T11:57:00Z</dcterms:modified>
</cp:coreProperties>
</file>